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F1D67" w14:textId="77777777" w:rsidR="003148A2" w:rsidRPr="0090176E" w:rsidRDefault="00E24710" w:rsidP="00E24710">
      <w:pPr>
        <w:jc w:val="center"/>
        <w:rPr>
          <w:b/>
          <w:sz w:val="40"/>
          <w:szCs w:val="40"/>
        </w:rPr>
      </w:pPr>
      <w:r w:rsidRPr="0090176E">
        <w:rPr>
          <w:b/>
          <w:sz w:val="40"/>
          <w:szCs w:val="40"/>
        </w:rPr>
        <w:t>S-564 - Questions and answers</w:t>
      </w:r>
    </w:p>
    <w:p w14:paraId="3827BDA7" w14:textId="77777777" w:rsidR="004E33C9" w:rsidRPr="0090176E" w:rsidRDefault="004E33C9" w:rsidP="004E33C9">
      <w:pPr>
        <w:rPr>
          <w:rFonts w:ascii="Arial" w:hAnsi="Arial" w:cs="Arial"/>
        </w:rPr>
      </w:pPr>
    </w:p>
    <w:p w14:paraId="67A38336" w14:textId="77777777" w:rsidR="00A63FED" w:rsidRDefault="004E33C9" w:rsidP="004E33C9">
      <w:pPr>
        <w:rPr>
          <w:rFonts w:ascii="Arial" w:hAnsi="Arial" w:cs="Arial"/>
        </w:rPr>
      </w:pPr>
      <w:r w:rsidRPr="004E33C9">
        <w:rPr>
          <w:rFonts w:ascii="Arial" w:hAnsi="Arial" w:cs="Arial"/>
        </w:rPr>
        <w:t>Udvalget for elektriske installationer</w:t>
      </w:r>
      <w:r w:rsidR="00804E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S-564,</w:t>
      </w:r>
      <w:r w:rsidRPr="004E33C9">
        <w:rPr>
          <w:rFonts w:ascii="Arial" w:hAnsi="Arial" w:cs="Arial"/>
        </w:rPr>
        <w:t xml:space="preserve"> modtager jævnligt spørgsmål til DS/HD 60364</w:t>
      </w:r>
      <w:r w:rsidR="00804E04">
        <w:rPr>
          <w:rFonts w:ascii="Arial" w:hAnsi="Arial" w:cs="Arial"/>
        </w:rPr>
        <w:t>-</w:t>
      </w:r>
      <w:r w:rsidRPr="004E33C9">
        <w:rPr>
          <w:rFonts w:ascii="Arial" w:hAnsi="Arial" w:cs="Arial"/>
        </w:rPr>
        <w:t>serien</w:t>
      </w:r>
      <w:r>
        <w:rPr>
          <w:rFonts w:ascii="Arial" w:hAnsi="Arial" w:cs="Arial"/>
        </w:rPr>
        <w:t xml:space="preserve"> og relaterede standarder</w:t>
      </w:r>
      <w:r w:rsidRPr="004E33C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Dette sker enten gennem Sikkerhedsstyrelsen, Dansk Standard, andre standardiseringsudvalg eller direkte til </w:t>
      </w:r>
      <w:r w:rsidR="00264AA4">
        <w:rPr>
          <w:rFonts w:ascii="Arial" w:hAnsi="Arial" w:cs="Arial"/>
        </w:rPr>
        <w:t xml:space="preserve">udvalget. Ved </w:t>
      </w:r>
      <w:r>
        <w:rPr>
          <w:rFonts w:ascii="Arial" w:hAnsi="Arial" w:cs="Arial"/>
        </w:rPr>
        <w:t>spørg</w:t>
      </w:r>
      <w:r w:rsidR="00264AA4">
        <w:rPr>
          <w:rFonts w:ascii="Arial" w:hAnsi="Arial" w:cs="Arial"/>
        </w:rPr>
        <w:t>smål til standarderne sker det tit og ofte</w:t>
      </w:r>
      <w:r w:rsidR="00804E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udvalget, efter at have givet et svar</w:t>
      </w:r>
      <w:r w:rsidR="00B7760A">
        <w:rPr>
          <w:rFonts w:ascii="Arial" w:hAnsi="Arial" w:cs="Arial"/>
        </w:rPr>
        <w:t>, står tilbage med et forbedrings</w:t>
      </w:r>
      <w:r>
        <w:rPr>
          <w:rFonts w:ascii="Arial" w:hAnsi="Arial" w:cs="Arial"/>
        </w:rPr>
        <w:t>punkt</w:t>
      </w:r>
      <w:r w:rsidR="00804E04">
        <w:rPr>
          <w:rFonts w:ascii="Arial" w:hAnsi="Arial" w:cs="Arial"/>
        </w:rPr>
        <w:t>,</w:t>
      </w:r>
      <w:r w:rsidR="00264AA4">
        <w:rPr>
          <w:rFonts w:ascii="Arial" w:hAnsi="Arial" w:cs="Arial"/>
        </w:rPr>
        <w:t xml:space="preserve"> til når </w:t>
      </w:r>
      <w:r w:rsidR="00B7760A">
        <w:rPr>
          <w:rFonts w:ascii="Arial" w:hAnsi="Arial" w:cs="Arial"/>
        </w:rPr>
        <w:t>standarden skal revideres næste gang. På den måde fungerer denne FAQ dels som en løsning på konkrete problemstillinger her og nu</w:t>
      </w:r>
      <w:r w:rsidR="00804E04">
        <w:rPr>
          <w:rFonts w:ascii="Arial" w:hAnsi="Arial" w:cs="Arial"/>
        </w:rPr>
        <w:t>,</w:t>
      </w:r>
      <w:r w:rsidR="00B7760A">
        <w:rPr>
          <w:rFonts w:ascii="Arial" w:hAnsi="Arial" w:cs="Arial"/>
        </w:rPr>
        <w:t xml:space="preserve"> men også som et værktøj til at forbedre de kommende udgaver af standarderne.</w:t>
      </w:r>
    </w:p>
    <w:p w14:paraId="06ED9CC4" w14:textId="77777777" w:rsidR="00E34756" w:rsidRDefault="00E34756" w:rsidP="004E33C9">
      <w:pPr>
        <w:rPr>
          <w:rFonts w:ascii="Arial" w:hAnsi="Arial" w:cs="Arial"/>
        </w:rPr>
      </w:pPr>
      <w:r>
        <w:rPr>
          <w:rFonts w:ascii="Arial" w:hAnsi="Arial" w:cs="Arial"/>
        </w:rPr>
        <w:t>Udvalget svarer kun på spørgsmål</w:t>
      </w:r>
      <w:r w:rsidR="00804E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hvor udvalget skønner</w:t>
      </w:r>
      <w:r w:rsidR="00804E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der er et behov for en vurdering/vejledning</w:t>
      </w:r>
      <w:r w:rsidR="00804E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at det senere kan bruges som forbedrende input til revision af standarden.</w:t>
      </w:r>
    </w:p>
    <w:p w14:paraId="64A3BF20" w14:textId="4B1D55A0" w:rsidR="00E34756" w:rsidRDefault="00A63FED" w:rsidP="004E33C9">
      <w:pPr>
        <w:rPr>
          <w:rFonts w:ascii="Arial" w:hAnsi="Arial" w:cs="Arial"/>
        </w:rPr>
      </w:pPr>
      <w:r>
        <w:rPr>
          <w:rFonts w:ascii="Arial" w:hAnsi="Arial" w:cs="Arial"/>
        </w:rPr>
        <w:t>Såfremt at der er gengivet fra standarden</w:t>
      </w:r>
      <w:r w:rsidR="00804E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er dette </w:t>
      </w:r>
      <w:r w:rsidR="00804E04">
        <w:rPr>
          <w:rFonts w:ascii="Arial" w:hAnsi="Arial" w:cs="Arial"/>
        </w:rPr>
        <w:t xml:space="preserve">angivet </w:t>
      </w:r>
      <w:r>
        <w:rPr>
          <w:rFonts w:ascii="Arial" w:hAnsi="Arial" w:cs="Arial"/>
        </w:rPr>
        <w:t xml:space="preserve">med </w:t>
      </w:r>
      <w:r w:rsidRPr="00A63FED">
        <w:rPr>
          <w:rFonts w:ascii="Arial" w:hAnsi="Arial" w:cs="Arial"/>
          <w:i/>
        </w:rPr>
        <w:t>kursiv</w:t>
      </w:r>
      <w:r>
        <w:rPr>
          <w:rFonts w:ascii="Arial" w:hAnsi="Arial" w:cs="Arial"/>
        </w:rPr>
        <w:t>.</w:t>
      </w:r>
      <w:r w:rsidR="004E33C9">
        <w:rPr>
          <w:rFonts w:ascii="Arial" w:hAnsi="Arial" w:cs="Arial"/>
        </w:rPr>
        <w:t xml:space="preserve"> </w:t>
      </w:r>
    </w:p>
    <w:p w14:paraId="3F6AB2C1" w14:textId="131C33C1" w:rsidR="00490095" w:rsidRDefault="00F0218D" w:rsidP="004E33C9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pict w14:anchorId="2E3DC786">
          <v:rect id="_x0000_i1027" style="width:0;height:1.5pt" o:hralign="center" o:hrstd="t" o:hr="t" fillcolor="#a0a0a0" stroked="f"/>
        </w:pict>
      </w:r>
    </w:p>
    <w:p w14:paraId="6A03993E" w14:textId="5149548C" w:rsidR="00490095" w:rsidRPr="00490095" w:rsidRDefault="00490095" w:rsidP="00490095">
      <w:pPr>
        <w:pStyle w:val="Default"/>
        <w:rPr>
          <w:b/>
          <w:bCs/>
          <w:sz w:val="22"/>
          <w:szCs w:val="22"/>
        </w:rPr>
      </w:pPr>
    </w:p>
    <w:p w14:paraId="385ECC47" w14:textId="211827E2" w:rsidR="00B3509C" w:rsidRPr="00C87F43" w:rsidRDefault="00C87F43" w:rsidP="00703E73">
      <w:pPr>
        <w:pStyle w:val="Default"/>
        <w:rPr>
          <w:b/>
          <w:bCs/>
          <w:color w:val="auto"/>
          <w:sz w:val="22"/>
          <w:szCs w:val="22"/>
        </w:rPr>
      </w:pPr>
      <w:r w:rsidRPr="00C87F43">
        <w:rPr>
          <w:b/>
          <w:bCs/>
          <w:color w:val="auto"/>
          <w:sz w:val="22"/>
          <w:szCs w:val="22"/>
        </w:rPr>
        <w:t>DS/EN 60598-1:2015+A1:2018</w:t>
      </w:r>
      <w:r w:rsidR="00C1014E">
        <w:rPr>
          <w:b/>
          <w:bCs/>
          <w:color w:val="auto"/>
          <w:sz w:val="22"/>
          <w:szCs w:val="22"/>
        </w:rPr>
        <w:tab/>
      </w:r>
      <w:r w:rsidR="000D4CA4">
        <w:rPr>
          <w:b/>
          <w:bCs/>
          <w:color w:val="auto"/>
          <w:sz w:val="22"/>
          <w:szCs w:val="22"/>
        </w:rPr>
        <w:tab/>
      </w:r>
      <w:r w:rsidR="000D4CA4">
        <w:rPr>
          <w:b/>
          <w:bCs/>
          <w:color w:val="auto"/>
          <w:sz w:val="22"/>
          <w:szCs w:val="22"/>
        </w:rPr>
        <w:tab/>
      </w:r>
      <w:r w:rsidR="000D4CA4">
        <w:rPr>
          <w:b/>
          <w:bCs/>
          <w:color w:val="auto"/>
          <w:sz w:val="22"/>
          <w:szCs w:val="22"/>
        </w:rPr>
        <w:tab/>
        <w:t>2019-09-25</w:t>
      </w:r>
    </w:p>
    <w:p w14:paraId="27CF9FDA" w14:textId="17A00A69" w:rsidR="00B3509C" w:rsidRDefault="00B3509C" w:rsidP="00703E73">
      <w:pPr>
        <w:pStyle w:val="Default"/>
        <w:rPr>
          <w:b/>
          <w:bCs/>
          <w:color w:val="auto"/>
          <w:sz w:val="22"/>
          <w:szCs w:val="22"/>
        </w:rPr>
      </w:pPr>
    </w:p>
    <w:p w14:paraId="71BC10B8" w14:textId="1A8314B4" w:rsidR="00C1014E" w:rsidRPr="00300AD1" w:rsidRDefault="006A2C53" w:rsidP="00703E7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Ydre og Indre ledninger </w:t>
      </w:r>
      <w:r w:rsidR="00C1014E" w:rsidRPr="00C87F43">
        <w:rPr>
          <w:b/>
          <w:bCs/>
          <w:color w:val="auto"/>
          <w:sz w:val="22"/>
          <w:szCs w:val="22"/>
        </w:rPr>
        <w:t>Pkt. 5.2.12</w:t>
      </w:r>
    </w:p>
    <w:p w14:paraId="4F1FF252" w14:textId="77777777" w:rsidR="00C1014E" w:rsidRDefault="00C1014E" w:rsidP="00703E73">
      <w:pPr>
        <w:pStyle w:val="Default"/>
        <w:rPr>
          <w:bCs/>
          <w:color w:val="auto"/>
          <w:sz w:val="22"/>
          <w:szCs w:val="22"/>
        </w:rPr>
      </w:pPr>
    </w:p>
    <w:p w14:paraId="633442CA" w14:textId="36BEC1DC" w:rsidR="00E63FBB" w:rsidRPr="00300AD1" w:rsidRDefault="00E215D0" w:rsidP="00703E73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Spørgsmål om b</w:t>
      </w:r>
      <w:r w:rsidR="00E63FBB" w:rsidRPr="00300AD1">
        <w:rPr>
          <w:bCs/>
          <w:color w:val="auto"/>
          <w:sz w:val="22"/>
          <w:szCs w:val="22"/>
        </w:rPr>
        <w:t>rug af armaturers met</w:t>
      </w:r>
      <w:r w:rsidR="00300AD1">
        <w:rPr>
          <w:bCs/>
          <w:color w:val="auto"/>
          <w:sz w:val="22"/>
          <w:szCs w:val="22"/>
        </w:rPr>
        <w:t>alchassis som beskyttelsesleder</w:t>
      </w:r>
    </w:p>
    <w:p w14:paraId="66F31BFE" w14:textId="6095FF4A" w:rsidR="00703E73" w:rsidRPr="00300AD1" w:rsidRDefault="00D45AD6" w:rsidP="00703E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Hvad menes der</w:t>
      </w:r>
      <w:r w:rsidR="006247AE">
        <w:rPr>
          <w:sz w:val="22"/>
          <w:szCs w:val="22"/>
        </w:rPr>
        <w:t>,</w:t>
      </w:r>
      <w:r w:rsidR="00B3509C" w:rsidRPr="00300AD1">
        <w:rPr>
          <w:sz w:val="22"/>
          <w:szCs w:val="22"/>
        </w:rPr>
        <w:t xml:space="preserve"> når der i</w:t>
      </w:r>
      <w:r w:rsidR="00E63FBB" w:rsidRPr="00300AD1">
        <w:rPr>
          <w:sz w:val="22"/>
          <w:szCs w:val="22"/>
        </w:rPr>
        <w:t xml:space="preserve"> DS/EN</w:t>
      </w:r>
      <w:r w:rsidR="00703E73" w:rsidRPr="00300AD1">
        <w:rPr>
          <w:sz w:val="22"/>
          <w:szCs w:val="22"/>
        </w:rPr>
        <w:t xml:space="preserve"> 60598-1</w:t>
      </w:r>
      <w:r w:rsidR="00E63FBB" w:rsidRPr="00300AD1">
        <w:rPr>
          <w:sz w:val="22"/>
          <w:szCs w:val="22"/>
        </w:rPr>
        <w:t xml:space="preserve"> står følgende</w:t>
      </w:r>
      <w:r w:rsidR="00E215D0">
        <w:rPr>
          <w:sz w:val="22"/>
          <w:szCs w:val="22"/>
        </w:rPr>
        <w:t>?</w:t>
      </w:r>
      <w:r w:rsidR="00703E73" w:rsidRPr="00300AD1">
        <w:rPr>
          <w:sz w:val="22"/>
          <w:szCs w:val="22"/>
        </w:rPr>
        <w:t xml:space="preserve">: </w:t>
      </w:r>
    </w:p>
    <w:p w14:paraId="1785CC99" w14:textId="77777777" w:rsidR="00E63FBB" w:rsidRPr="00300AD1" w:rsidRDefault="00703E73" w:rsidP="00E6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00AD1">
        <w:rPr>
          <w:rFonts w:ascii="Arial" w:hAnsi="Arial" w:cs="Arial"/>
        </w:rPr>
        <w:t xml:space="preserve">5.2.12 </w:t>
      </w:r>
      <w:r w:rsidR="00E63FBB" w:rsidRPr="00300AD1">
        <w:rPr>
          <w:rFonts w:ascii="Arial" w:hAnsi="Arial" w:cs="Arial"/>
          <w:i/>
        </w:rPr>
        <w:t>Fastmonterede armaturer beregnet til sløjfning skal være forsynet med klemmer til videreføring af installationskabler,</w:t>
      </w:r>
      <w:r w:rsidR="00D45AD6">
        <w:rPr>
          <w:rFonts w:ascii="Arial" w:hAnsi="Arial" w:cs="Arial"/>
          <w:i/>
        </w:rPr>
        <w:t xml:space="preserve"> </w:t>
      </w:r>
      <w:r w:rsidR="00E63FBB" w:rsidRPr="00300AD1">
        <w:rPr>
          <w:rFonts w:ascii="Arial" w:hAnsi="Arial" w:cs="Arial"/>
          <w:i/>
        </w:rPr>
        <w:t>der anvendes til forsyning af armaturet, men som ikke afsluttes i dette.</w:t>
      </w:r>
    </w:p>
    <w:p w14:paraId="0306BD96" w14:textId="77777777" w:rsidR="00703E73" w:rsidRPr="00300AD1" w:rsidRDefault="00703E73" w:rsidP="00E63FBB">
      <w:pPr>
        <w:pStyle w:val="Default"/>
        <w:rPr>
          <w:i/>
          <w:sz w:val="22"/>
          <w:szCs w:val="22"/>
        </w:rPr>
      </w:pPr>
    </w:p>
    <w:p w14:paraId="53B24C4C" w14:textId="77777777" w:rsidR="00E215D0" w:rsidRDefault="00E215D0" w:rsidP="00703E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Udvalgets svar:</w:t>
      </w:r>
    </w:p>
    <w:p w14:paraId="34A3D937" w14:textId="7CD35D61" w:rsidR="00AC7B62" w:rsidRPr="00300AD1" w:rsidRDefault="00300AD1" w:rsidP="00703E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Hvis der er</w:t>
      </w:r>
      <w:r w:rsidR="00703E73" w:rsidRPr="00300AD1">
        <w:rPr>
          <w:sz w:val="22"/>
          <w:szCs w:val="22"/>
        </w:rPr>
        <w:t xml:space="preserve"> tale om en intern PE-forb</w:t>
      </w:r>
      <w:r w:rsidR="00880732" w:rsidRPr="00300AD1">
        <w:rPr>
          <w:sz w:val="22"/>
          <w:szCs w:val="22"/>
        </w:rPr>
        <w:t xml:space="preserve">indelse i et systemarmatur, og </w:t>
      </w:r>
      <w:r w:rsidR="00703E73" w:rsidRPr="00300AD1">
        <w:rPr>
          <w:sz w:val="22"/>
          <w:szCs w:val="22"/>
        </w:rPr>
        <w:t>hvis der er tale om en reel videreføring</w:t>
      </w:r>
      <w:r w:rsidR="00AC7B62">
        <w:rPr>
          <w:sz w:val="22"/>
          <w:szCs w:val="22"/>
        </w:rPr>
        <w:t>,</w:t>
      </w:r>
      <w:r w:rsidR="00703E73" w:rsidRPr="00300AD1">
        <w:rPr>
          <w:sz w:val="22"/>
          <w:szCs w:val="22"/>
        </w:rPr>
        <w:t xml:space="preserve"> så er DS/HD 603</w:t>
      </w:r>
      <w:r w:rsidR="00880732" w:rsidRPr="00300AD1">
        <w:rPr>
          <w:sz w:val="22"/>
          <w:szCs w:val="22"/>
        </w:rPr>
        <w:t>64-5-54, 543.2.2 relevant.</w:t>
      </w:r>
    </w:p>
    <w:p w14:paraId="0CD0F5E4" w14:textId="77777777" w:rsidR="00703E73" w:rsidRPr="00300AD1" w:rsidRDefault="00703E73" w:rsidP="00703E73">
      <w:pPr>
        <w:pStyle w:val="Default"/>
        <w:rPr>
          <w:i/>
          <w:sz w:val="22"/>
          <w:szCs w:val="22"/>
        </w:rPr>
      </w:pPr>
      <w:r w:rsidRPr="00300AD1">
        <w:rPr>
          <w:i/>
          <w:sz w:val="22"/>
          <w:szCs w:val="22"/>
        </w:rPr>
        <w:t xml:space="preserve">543.2.2 Hvor installationen indeholder materiel med kapslinger af metal, som fx lavspændingstavler (se IEC 61439-1 og IEC 61439-2) eller kanalskinnesystemer (se IEC 60439-2), kan disse metalkapslinger eller -stativer anvendes som beskyttelsesleder, hvis de samtidig opfylder følgende tre krav: </w:t>
      </w:r>
    </w:p>
    <w:p w14:paraId="4775ED51" w14:textId="77777777" w:rsidR="00703E73" w:rsidRPr="00300AD1" w:rsidRDefault="00703E73" w:rsidP="00703E73">
      <w:pPr>
        <w:pStyle w:val="Default"/>
        <w:rPr>
          <w:i/>
          <w:sz w:val="22"/>
          <w:szCs w:val="22"/>
        </w:rPr>
      </w:pPr>
      <w:r w:rsidRPr="00300AD1">
        <w:rPr>
          <w:i/>
          <w:sz w:val="22"/>
          <w:szCs w:val="22"/>
        </w:rPr>
        <w:t xml:space="preserve">a) Deres elektriske kontinuitet skal være sikret gennem konstruktionen eller med egnede forbindelser for at sikre beskyttelse mod mekanisk, kemisk eller elektrokemisk tæring </w:t>
      </w:r>
    </w:p>
    <w:p w14:paraId="121E0CD4" w14:textId="77777777" w:rsidR="0020153C" w:rsidRPr="00300AD1" w:rsidRDefault="00703E73" w:rsidP="0020153C">
      <w:pPr>
        <w:pStyle w:val="Default"/>
        <w:rPr>
          <w:i/>
          <w:sz w:val="22"/>
          <w:szCs w:val="22"/>
        </w:rPr>
      </w:pPr>
      <w:r w:rsidRPr="00300AD1">
        <w:rPr>
          <w:i/>
          <w:sz w:val="22"/>
          <w:szCs w:val="22"/>
        </w:rPr>
        <w:t xml:space="preserve">b) De er i overensstemmelse med kravene i 543.1 </w:t>
      </w:r>
    </w:p>
    <w:p w14:paraId="25DED0AC" w14:textId="77777777" w:rsidR="00703E73" w:rsidRPr="00300AD1" w:rsidRDefault="00703E73" w:rsidP="006D23AB">
      <w:pPr>
        <w:pStyle w:val="Default"/>
        <w:pBdr>
          <w:bottom w:val="single" w:sz="6" w:space="1" w:color="auto"/>
        </w:pBdr>
        <w:rPr>
          <w:i/>
          <w:color w:val="auto"/>
          <w:sz w:val="22"/>
          <w:szCs w:val="22"/>
        </w:rPr>
      </w:pPr>
      <w:r w:rsidRPr="00300AD1">
        <w:rPr>
          <w:i/>
          <w:color w:val="auto"/>
          <w:sz w:val="22"/>
          <w:szCs w:val="22"/>
        </w:rPr>
        <w:t xml:space="preserve">c) Det skal være muligt at tilslutte andre beskyttelsesledere ved alle forudbestemte afgreningssteder. </w:t>
      </w:r>
    </w:p>
    <w:p w14:paraId="6FF81E0A" w14:textId="77777777" w:rsidR="00AC7B62" w:rsidRDefault="00880732" w:rsidP="006D23AB">
      <w:pPr>
        <w:pStyle w:val="Default"/>
        <w:pBdr>
          <w:bottom w:val="single" w:sz="6" w:space="1" w:color="auto"/>
        </w:pBdr>
        <w:rPr>
          <w:color w:val="auto"/>
          <w:sz w:val="22"/>
          <w:szCs w:val="22"/>
        </w:rPr>
      </w:pPr>
      <w:r w:rsidRPr="00300AD1">
        <w:rPr>
          <w:color w:val="auto"/>
          <w:sz w:val="22"/>
          <w:szCs w:val="22"/>
        </w:rPr>
        <w:t>Armaturets chassis kan dermed anvendes som beskyttelsesleder</w:t>
      </w:r>
      <w:r w:rsidR="00AC7B62">
        <w:rPr>
          <w:color w:val="auto"/>
          <w:sz w:val="22"/>
          <w:szCs w:val="22"/>
        </w:rPr>
        <w:t>,</w:t>
      </w:r>
      <w:r w:rsidRPr="00300AD1">
        <w:rPr>
          <w:color w:val="auto"/>
          <w:sz w:val="22"/>
          <w:szCs w:val="22"/>
        </w:rPr>
        <w:t xml:space="preserve"> når ovenstående krav samt producentens anvisninger er fulgt.</w:t>
      </w:r>
    </w:p>
    <w:p w14:paraId="1CA55162" w14:textId="77777777" w:rsidR="00AC7B62" w:rsidRPr="00300AD1" w:rsidRDefault="00AC7B62" w:rsidP="006D23AB">
      <w:pPr>
        <w:pStyle w:val="Default"/>
        <w:pBdr>
          <w:bottom w:val="single" w:sz="6" w:space="1" w:color="auto"/>
        </w:pBdr>
        <w:rPr>
          <w:color w:val="auto"/>
          <w:sz w:val="22"/>
          <w:szCs w:val="22"/>
        </w:rPr>
      </w:pPr>
    </w:p>
    <w:p w14:paraId="0D2FD7E0" w14:textId="77777777" w:rsidR="006D23AB" w:rsidRPr="00300AD1" w:rsidRDefault="006D23AB" w:rsidP="006D23AB">
      <w:pPr>
        <w:pStyle w:val="Default"/>
        <w:rPr>
          <w:color w:val="auto"/>
          <w:sz w:val="22"/>
          <w:szCs w:val="22"/>
        </w:rPr>
      </w:pPr>
    </w:p>
    <w:p w14:paraId="7F79537C" w14:textId="1C6DD601" w:rsidR="00DE7D2C" w:rsidRPr="00300AD1" w:rsidRDefault="00C87F43" w:rsidP="008807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DS/HD 60364-5-53:2015+A11:2017</w:t>
      </w:r>
      <w:r w:rsidR="000D4CA4">
        <w:rPr>
          <w:rFonts w:ascii="Arial" w:hAnsi="Arial" w:cs="Arial"/>
          <w:b/>
          <w:bCs/>
        </w:rPr>
        <w:t xml:space="preserve"> (SIK)</w:t>
      </w:r>
      <w:r w:rsidR="008B199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2019-09-25</w:t>
      </w:r>
    </w:p>
    <w:p w14:paraId="6B06AAA0" w14:textId="201FDF7B" w:rsidR="008B1998" w:rsidRDefault="006A2064" w:rsidP="0088073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TT-</w:t>
      </w:r>
      <w:r w:rsidR="00BD4F50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ystem</w:t>
      </w:r>
      <w:r w:rsidR="00BD4F50">
        <w:rPr>
          <w:rFonts w:ascii="Arial" w:hAnsi="Arial" w:cs="Arial"/>
          <w:b/>
          <w:bCs/>
        </w:rPr>
        <w:t xml:space="preserve"> – Placering af RCD’er i (fejlstrømsafbrydere)</w:t>
      </w:r>
      <w:r>
        <w:rPr>
          <w:rFonts w:ascii="Arial" w:hAnsi="Arial" w:cs="Arial"/>
          <w:b/>
          <w:bCs/>
        </w:rPr>
        <w:t xml:space="preserve"> </w:t>
      </w:r>
      <w:r w:rsidR="008B1998">
        <w:rPr>
          <w:rFonts w:ascii="Arial" w:hAnsi="Arial" w:cs="Arial"/>
          <w:b/>
          <w:bCs/>
        </w:rPr>
        <w:t>P</w:t>
      </w:r>
      <w:r w:rsidR="008B1998" w:rsidRPr="00300AD1">
        <w:rPr>
          <w:rFonts w:ascii="Arial" w:hAnsi="Arial" w:cs="Arial"/>
          <w:b/>
          <w:bCs/>
        </w:rPr>
        <w:t>kt. 531.3.5.3.1</w:t>
      </w:r>
    </w:p>
    <w:p w14:paraId="6C84B534" w14:textId="3CB79CC9" w:rsidR="0020153C" w:rsidRPr="00300AD1" w:rsidRDefault="00DE7D2C" w:rsidP="00880732">
      <w:pPr>
        <w:rPr>
          <w:rFonts w:ascii="Arial" w:hAnsi="Arial" w:cs="Arial"/>
          <w:bCs/>
        </w:rPr>
      </w:pPr>
      <w:r w:rsidRPr="00300AD1">
        <w:rPr>
          <w:rFonts w:ascii="Arial" w:hAnsi="Arial" w:cs="Arial"/>
          <w:bCs/>
        </w:rPr>
        <w:t>Spørgsmål til p</w:t>
      </w:r>
      <w:r w:rsidR="00880732" w:rsidRPr="00300AD1">
        <w:rPr>
          <w:rFonts w:ascii="Arial" w:hAnsi="Arial" w:cs="Arial"/>
          <w:bCs/>
        </w:rPr>
        <w:t>lacering af RCD’er (fejlstrømsafbrydere) i TN</w:t>
      </w:r>
      <w:r w:rsidR="00563FDB">
        <w:rPr>
          <w:rFonts w:ascii="Arial" w:hAnsi="Arial" w:cs="Arial"/>
          <w:bCs/>
        </w:rPr>
        <w:t>-</w:t>
      </w:r>
      <w:r w:rsidR="00880732" w:rsidRPr="00300AD1">
        <w:rPr>
          <w:rFonts w:ascii="Arial" w:hAnsi="Arial" w:cs="Arial"/>
          <w:bCs/>
        </w:rPr>
        <w:t xml:space="preserve"> og TT-systemer.</w:t>
      </w:r>
    </w:p>
    <w:p w14:paraId="3A288127" w14:textId="77777777" w:rsidR="00DE7D2C" w:rsidRPr="00300AD1" w:rsidRDefault="00DE7D2C" w:rsidP="0020153C">
      <w:pPr>
        <w:pStyle w:val="Default"/>
        <w:rPr>
          <w:sz w:val="22"/>
          <w:szCs w:val="22"/>
        </w:rPr>
      </w:pPr>
      <w:r w:rsidRPr="00300AD1">
        <w:rPr>
          <w:sz w:val="22"/>
          <w:szCs w:val="22"/>
        </w:rPr>
        <w:t xml:space="preserve">I </w:t>
      </w:r>
      <w:r w:rsidR="00E716FD">
        <w:rPr>
          <w:sz w:val="22"/>
          <w:szCs w:val="22"/>
        </w:rPr>
        <w:t>p</w:t>
      </w:r>
      <w:r w:rsidR="0020153C" w:rsidRPr="00300AD1">
        <w:rPr>
          <w:sz w:val="22"/>
          <w:szCs w:val="22"/>
        </w:rPr>
        <w:t xml:space="preserve">kt. 531.3.5.3.1 </w:t>
      </w:r>
      <w:r w:rsidRPr="00300AD1">
        <w:rPr>
          <w:sz w:val="22"/>
          <w:szCs w:val="22"/>
        </w:rPr>
        <w:t>står:</w:t>
      </w:r>
    </w:p>
    <w:p w14:paraId="3EEF9959" w14:textId="77777777" w:rsidR="0020153C" w:rsidRPr="00300AD1" w:rsidRDefault="0020153C" w:rsidP="0020153C">
      <w:pPr>
        <w:pStyle w:val="Default"/>
        <w:rPr>
          <w:i/>
          <w:sz w:val="22"/>
          <w:szCs w:val="22"/>
        </w:rPr>
      </w:pPr>
      <w:r w:rsidRPr="00300AD1">
        <w:rPr>
          <w:i/>
          <w:sz w:val="22"/>
          <w:szCs w:val="22"/>
        </w:rPr>
        <w:lastRenderedPageBreak/>
        <w:t>RCD</w:t>
      </w:r>
      <w:r w:rsidR="004669F1">
        <w:rPr>
          <w:i/>
          <w:sz w:val="22"/>
          <w:szCs w:val="22"/>
        </w:rPr>
        <w:t>’e</w:t>
      </w:r>
      <w:r w:rsidRPr="00300AD1">
        <w:rPr>
          <w:i/>
          <w:sz w:val="22"/>
          <w:szCs w:val="22"/>
        </w:rPr>
        <w:t xml:space="preserve">r (fejlstrømsafbrydere) skal installeres ved forsyningspunktet i den del af installationen, der skal beskyttes. </w:t>
      </w:r>
    </w:p>
    <w:p w14:paraId="08DABF8E" w14:textId="77777777" w:rsidR="0020153C" w:rsidRPr="00300AD1" w:rsidRDefault="0020153C" w:rsidP="0020153C">
      <w:pPr>
        <w:pStyle w:val="Default"/>
        <w:rPr>
          <w:sz w:val="22"/>
          <w:szCs w:val="22"/>
        </w:rPr>
      </w:pPr>
    </w:p>
    <w:p w14:paraId="4AF3645B" w14:textId="77777777" w:rsidR="0020153C" w:rsidRPr="00300AD1" w:rsidRDefault="00E57567" w:rsidP="0020153C">
      <w:pPr>
        <w:pStyle w:val="Default"/>
        <w:rPr>
          <w:sz w:val="22"/>
          <w:szCs w:val="22"/>
        </w:rPr>
      </w:pPr>
      <w:r w:rsidRPr="00300AD1">
        <w:rPr>
          <w:sz w:val="22"/>
          <w:szCs w:val="22"/>
        </w:rPr>
        <w:t>Hvad menes med forsyningspunkt</w:t>
      </w:r>
      <w:r w:rsidR="00AC7B62">
        <w:rPr>
          <w:sz w:val="22"/>
          <w:szCs w:val="22"/>
        </w:rPr>
        <w:t>? E</w:t>
      </w:r>
      <w:r w:rsidR="0020153C" w:rsidRPr="00300AD1">
        <w:rPr>
          <w:sz w:val="22"/>
          <w:szCs w:val="22"/>
        </w:rPr>
        <w:t>r det i stiklednings</w:t>
      </w:r>
      <w:r w:rsidR="00563FDB">
        <w:rPr>
          <w:sz w:val="22"/>
          <w:szCs w:val="22"/>
        </w:rPr>
        <w:t xml:space="preserve"> </w:t>
      </w:r>
      <w:r w:rsidR="0020153C" w:rsidRPr="00300AD1">
        <w:rPr>
          <w:sz w:val="22"/>
          <w:szCs w:val="22"/>
        </w:rPr>
        <w:t xml:space="preserve">udgangspunkt, i indgangen på første tavle eller </w:t>
      </w:r>
      <w:r w:rsidR="00885376">
        <w:rPr>
          <w:sz w:val="22"/>
          <w:szCs w:val="22"/>
        </w:rPr>
        <w:t>strømkredsens udgangspunkt</w:t>
      </w:r>
      <w:r w:rsidR="00563FDB">
        <w:rPr>
          <w:sz w:val="22"/>
          <w:szCs w:val="22"/>
        </w:rPr>
        <w:t>?</w:t>
      </w:r>
    </w:p>
    <w:p w14:paraId="765DD29E" w14:textId="77777777" w:rsidR="00DE7D2C" w:rsidRPr="00300AD1" w:rsidRDefault="00DE7D2C" w:rsidP="0020153C">
      <w:pPr>
        <w:pStyle w:val="Default"/>
        <w:rPr>
          <w:sz w:val="22"/>
          <w:szCs w:val="22"/>
        </w:rPr>
      </w:pPr>
    </w:p>
    <w:p w14:paraId="0865F641" w14:textId="77777777" w:rsidR="00E57567" w:rsidRPr="00300AD1" w:rsidRDefault="001644F0" w:rsidP="002015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Udvalget</w:t>
      </w:r>
      <w:r w:rsidR="00AC7B62">
        <w:rPr>
          <w:sz w:val="22"/>
          <w:szCs w:val="22"/>
        </w:rPr>
        <w:t>s</w:t>
      </w:r>
      <w:r>
        <w:rPr>
          <w:sz w:val="22"/>
          <w:szCs w:val="22"/>
        </w:rPr>
        <w:t xml:space="preserve"> svar</w:t>
      </w:r>
      <w:r w:rsidR="00E57567" w:rsidRPr="00300AD1">
        <w:rPr>
          <w:sz w:val="22"/>
          <w:szCs w:val="22"/>
        </w:rPr>
        <w:t>:</w:t>
      </w:r>
    </w:p>
    <w:p w14:paraId="4AA4E305" w14:textId="77777777" w:rsidR="00663667" w:rsidRPr="00300AD1" w:rsidRDefault="00AC7B62" w:rsidP="00663667">
      <w:pPr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663667" w:rsidRPr="00300AD1">
        <w:rPr>
          <w:rFonts w:ascii="Arial" w:hAnsi="Arial" w:cs="Arial"/>
        </w:rPr>
        <w:t>Origin</w:t>
      </w:r>
      <w:r>
        <w:rPr>
          <w:rFonts w:ascii="Arial" w:hAnsi="Arial" w:cs="Arial"/>
        </w:rPr>
        <w:t>"</w:t>
      </w:r>
      <w:r w:rsidR="00663667" w:rsidRPr="00300AD1">
        <w:rPr>
          <w:rFonts w:ascii="Arial" w:hAnsi="Arial" w:cs="Arial"/>
        </w:rPr>
        <w:t xml:space="preserve"> bør ud fra konteksten være oversat til begyndelsespunkt, da der er tale om at beskytte </w:t>
      </w:r>
      <w:r w:rsidR="00250770">
        <w:rPr>
          <w:rFonts w:ascii="Arial" w:hAnsi="Arial" w:cs="Arial"/>
        </w:rPr>
        <w:t>é</w:t>
      </w:r>
      <w:r w:rsidR="00663667" w:rsidRPr="00300AD1">
        <w:rPr>
          <w:rFonts w:ascii="Arial" w:hAnsi="Arial" w:cs="Arial"/>
        </w:rPr>
        <w:t>n</w:t>
      </w:r>
      <w:r w:rsidR="00250770">
        <w:rPr>
          <w:rFonts w:ascii="Arial" w:hAnsi="Arial" w:cs="Arial"/>
        </w:rPr>
        <w:t xml:space="preserve"> eller flere strømkredse </w:t>
      </w:r>
      <w:r w:rsidR="00663667" w:rsidRPr="00300AD1">
        <w:rPr>
          <w:rFonts w:ascii="Arial" w:hAnsi="Arial" w:cs="Arial"/>
        </w:rPr>
        <w:t xml:space="preserve">upstream. </w:t>
      </w:r>
      <w:r w:rsidR="00885376">
        <w:rPr>
          <w:rFonts w:ascii="Arial" w:hAnsi="Arial" w:cs="Arial"/>
        </w:rPr>
        <w:t>Der stilles således krav om, at RCD’er skal installeres ved strømkredsenes udgangspunkt</w:t>
      </w:r>
      <w:r>
        <w:rPr>
          <w:rFonts w:ascii="Arial" w:hAnsi="Arial" w:cs="Arial"/>
        </w:rPr>
        <w:t>,</w:t>
      </w:r>
      <w:r w:rsidR="00885376">
        <w:rPr>
          <w:rFonts w:ascii="Arial" w:hAnsi="Arial" w:cs="Arial"/>
        </w:rPr>
        <w:t xml:space="preserve"> typisk i tavlen.  </w:t>
      </w:r>
      <w:r w:rsidR="00663667" w:rsidRPr="00300AD1">
        <w:rPr>
          <w:rFonts w:ascii="Arial" w:hAnsi="Arial" w:cs="Arial"/>
        </w:rPr>
        <w:t xml:space="preserve"> </w:t>
      </w:r>
    </w:p>
    <w:p w14:paraId="32A614A1" w14:textId="77777777" w:rsidR="004E18B0" w:rsidRDefault="00400D52" w:rsidP="006636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elektriske installations forsyningspunkt er defineret i IEV 826-10-02, men i </w:t>
      </w:r>
      <w:r w:rsidR="00EB60EA">
        <w:rPr>
          <w:rFonts w:ascii="Arial" w:hAnsi="Arial" w:cs="Arial"/>
        </w:rPr>
        <w:t>DS/HD</w:t>
      </w:r>
      <w:r w:rsidR="004E1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60364-serien er den elektriske installations</w:t>
      </w:r>
      <w:r w:rsidR="00563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forsyningspunkt ikke altid det samme punkt. Eksempelvis er installation</w:t>
      </w:r>
      <w:r w:rsidR="004669F1">
        <w:rPr>
          <w:rFonts w:ascii="Arial" w:hAnsi="Arial" w:cs="Arial"/>
        </w:rPr>
        <w:t>en</w:t>
      </w:r>
      <w:r>
        <w:rPr>
          <w:rFonts w:ascii="Arial" w:hAnsi="Arial" w:cs="Arial"/>
        </w:rPr>
        <w:t>s forsyningspunkt ved installation af SPD normalt det sted</w:t>
      </w:r>
      <w:r w:rsidR="00563F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hvor forsyningen kommer ind i bygningen eller hovedfordelingstavlen, mens installationens forsyningspunkt relateret til spændingsfald normalt er stikledningens udgangspunkt. Det må således i det enkelte tilfælde </w:t>
      </w:r>
      <w:r w:rsidR="00B456BE">
        <w:rPr>
          <w:rFonts w:ascii="Arial" w:hAnsi="Arial" w:cs="Arial"/>
        </w:rPr>
        <w:t>vurderes</w:t>
      </w:r>
      <w:r w:rsidR="000D1BA6">
        <w:rPr>
          <w:rFonts w:ascii="Arial" w:hAnsi="Arial" w:cs="Arial"/>
        </w:rPr>
        <w:t>,</w:t>
      </w:r>
      <w:r w:rsidR="00B456BE">
        <w:rPr>
          <w:rFonts w:ascii="Arial" w:hAnsi="Arial" w:cs="Arial"/>
        </w:rPr>
        <w:t xml:space="preserve"> hvor den elektriske installation</w:t>
      </w:r>
      <w:r w:rsidR="00563FDB">
        <w:rPr>
          <w:rFonts w:ascii="Arial" w:hAnsi="Arial" w:cs="Arial"/>
        </w:rPr>
        <w:t>s</w:t>
      </w:r>
      <w:r w:rsidR="00B456BE">
        <w:rPr>
          <w:rFonts w:ascii="Arial" w:hAnsi="Arial" w:cs="Arial"/>
        </w:rPr>
        <w:t xml:space="preserve"> forsyningspunkt er.</w:t>
      </w:r>
    </w:p>
    <w:p w14:paraId="287227DA" w14:textId="77777777" w:rsidR="006E31B2" w:rsidRDefault="00563FDB" w:rsidP="0020153C">
      <w:pPr>
        <w:pBdr>
          <w:bottom w:val="single" w:sz="6" w:space="1" w:color="auto"/>
        </w:pBdr>
        <w:rPr>
          <w:rFonts w:ascii="Arial" w:hAnsi="Arial" w:cs="Arial"/>
        </w:rPr>
      </w:pPr>
      <w:r w:rsidRPr="00563FDB">
        <w:rPr>
          <w:rFonts w:ascii="Arial" w:hAnsi="Arial" w:cs="Arial"/>
        </w:rPr>
        <w:t>Fællesregulativet definere</w:t>
      </w:r>
      <w:r w:rsidR="00AC7B62">
        <w:rPr>
          <w:rFonts w:ascii="Arial" w:hAnsi="Arial" w:cs="Arial"/>
        </w:rPr>
        <w:t>r</w:t>
      </w:r>
      <w:r w:rsidRPr="00563FDB">
        <w:rPr>
          <w:rFonts w:ascii="Arial" w:hAnsi="Arial" w:cs="Arial"/>
        </w:rPr>
        <w:t xml:space="preserve"> tilslutningspunktet som det punkt</w:t>
      </w:r>
      <w:r w:rsidR="004669F1">
        <w:rPr>
          <w:rFonts w:ascii="Arial" w:hAnsi="Arial" w:cs="Arial"/>
        </w:rPr>
        <w:t>,</w:t>
      </w:r>
      <w:r w:rsidRPr="00563FDB">
        <w:rPr>
          <w:rFonts w:ascii="Arial" w:hAnsi="Arial" w:cs="Arial"/>
        </w:rPr>
        <w:t xml:space="preserve"> hvor elanlæg og elinstallationer er forbundet med hinanden. Typisk placeret ved stiksikringerne i mast, kabelskab eller transformerstation. </w:t>
      </w:r>
    </w:p>
    <w:p w14:paraId="3E6F94FC" w14:textId="77777777" w:rsidR="00AC7B62" w:rsidRPr="00300AD1" w:rsidRDefault="00AC7B62" w:rsidP="0020153C">
      <w:pPr>
        <w:pBdr>
          <w:bottom w:val="single" w:sz="6" w:space="1" w:color="auto"/>
        </w:pBdr>
        <w:rPr>
          <w:rFonts w:ascii="Arial" w:hAnsi="Arial" w:cs="Arial"/>
        </w:rPr>
      </w:pPr>
    </w:p>
    <w:p w14:paraId="59B369A0" w14:textId="77777777" w:rsidR="0020153C" w:rsidRPr="00300AD1" w:rsidRDefault="004D31E5" w:rsidP="0020153C">
      <w:pPr>
        <w:rPr>
          <w:rFonts w:ascii="Arial" w:hAnsi="Arial" w:cs="Arial"/>
          <w:b/>
          <w:bCs/>
        </w:rPr>
      </w:pPr>
      <w:r w:rsidRPr="00300AD1">
        <w:rPr>
          <w:rFonts w:ascii="Arial" w:hAnsi="Arial" w:cs="Arial"/>
          <w:b/>
          <w:bCs/>
        </w:rPr>
        <w:t xml:space="preserve">Tilslutning af armaturer med </w:t>
      </w:r>
      <w:r w:rsidR="0050052E">
        <w:rPr>
          <w:rFonts w:ascii="Arial" w:hAnsi="Arial" w:cs="Arial"/>
          <w:b/>
          <w:bCs/>
        </w:rPr>
        <w:t xml:space="preserve">tilledning og/eller </w:t>
      </w:r>
      <w:r w:rsidRPr="00300AD1">
        <w:rPr>
          <w:rFonts w:ascii="Arial" w:hAnsi="Arial" w:cs="Arial"/>
          <w:b/>
          <w:bCs/>
        </w:rPr>
        <w:t>stikforbindelser</w:t>
      </w:r>
      <w:r w:rsidR="00C87F43">
        <w:rPr>
          <w:rFonts w:ascii="Arial" w:hAnsi="Arial" w:cs="Arial"/>
          <w:b/>
          <w:bCs/>
        </w:rPr>
        <w:tab/>
        <w:t>2019-09-25</w:t>
      </w:r>
    </w:p>
    <w:p w14:paraId="52E81669" w14:textId="77777777" w:rsidR="0020153C" w:rsidRPr="00300AD1" w:rsidRDefault="0020153C" w:rsidP="0020153C">
      <w:pPr>
        <w:rPr>
          <w:rFonts w:ascii="Arial" w:hAnsi="Arial" w:cs="Arial"/>
        </w:rPr>
      </w:pPr>
      <w:r w:rsidRPr="00300AD1">
        <w:rPr>
          <w:rFonts w:ascii="Arial" w:hAnsi="Arial" w:cs="Arial"/>
        </w:rPr>
        <w:t xml:space="preserve">Må installationsstikforbindelser, herunder T-connectorer og andre lignende samlinger, der overholder </w:t>
      </w:r>
      <w:r w:rsidR="0050052E">
        <w:rPr>
          <w:rFonts w:ascii="Arial" w:hAnsi="Arial" w:cs="Arial"/>
        </w:rPr>
        <w:t>DS/</w:t>
      </w:r>
      <w:r w:rsidRPr="00300AD1">
        <w:rPr>
          <w:rFonts w:ascii="Arial" w:hAnsi="Arial" w:cs="Arial"/>
        </w:rPr>
        <w:t>EN</w:t>
      </w:r>
      <w:r w:rsidR="0050052E">
        <w:rPr>
          <w:rFonts w:ascii="Arial" w:hAnsi="Arial" w:cs="Arial"/>
        </w:rPr>
        <w:t xml:space="preserve"> </w:t>
      </w:r>
      <w:r w:rsidRPr="00300AD1">
        <w:rPr>
          <w:rFonts w:ascii="Arial" w:hAnsi="Arial" w:cs="Arial"/>
        </w:rPr>
        <w:t>61535</w:t>
      </w:r>
      <w:r w:rsidR="00AC7B62">
        <w:rPr>
          <w:rFonts w:ascii="Arial" w:hAnsi="Arial" w:cs="Arial"/>
        </w:rPr>
        <w:t>,</w:t>
      </w:r>
      <w:r w:rsidRPr="00300AD1">
        <w:rPr>
          <w:rFonts w:ascii="Arial" w:hAnsi="Arial" w:cs="Arial"/>
        </w:rPr>
        <w:t xml:space="preserve"> ligge løst i bygningshulrum, hvis installation kan trækkes med ud af alle installationspunkter, </w:t>
      </w:r>
      <w:r w:rsidR="00045AEF">
        <w:rPr>
          <w:rFonts w:ascii="Arial" w:hAnsi="Arial" w:cs="Arial"/>
        </w:rPr>
        <w:t>fx</w:t>
      </w:r>
      <w:r w:rsidR="004669F1">
        <w:rPr>
          <w:rFonts w:ascii="Arial" w:hAnsi="Arial" w:cs="Arial"/>
        </w:rPr>
        <w:t xml:space="preserve"> til</w:t>
      </w:r>
      <w:r w:rsidRPr="00300AD1">
        <w:rPr>
          <w:rFonts w:ascii="Arial" w:hAnsi="Arial" w:cs="Arial"/>
        </w:rPr>
        <w:t xml:space="preserve"> belysning?</w:t>
      </w:r>
    </w:p>
    <w:p w14:paraId="2703C069" w14:textId="77777777" w:rsidR="00E215D0" w:rsidRDefault="00E215D0" w:rsidP="004D31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Udvalgets svar:</w:t>
      </w:r>
    </w:p>
    <w:p w14:paraId="2CB09A94" w14:textId="21391C6A" w:rsidR="004D31E5" w:rsidRPr="00300AD1" w:rsidRDefault="004D31E5" w:rsidP="004D31E5">
      <w:pPr>
        <w:spacing w:after="0" w:line="240" w:lineRule="auto"/>
        <w:rPr>
          <w:rFonts w:ascii="Arial" w:hAnsi="Arial" w:cs="Arial"/>
        </w:rPr>
      </w:pPr>
      <w:r w:rsidRPr="00300AD1">
        <w:rPr>
          <w:rFonts w:ascii="Arial" w:hAnsi="Arial" w:cs="Arial"/>
        </w:rPr>
        <w:t>Hvis der anvendes installationsstikforbindelser som en del af den faste installation, skal</w:t>
      </w:r>
    </w:p>
    <w:p w14:paraId="0E26F0D7" w14:textId="77777777" w:rsidR="004D31E5" w:rsidRPr="00300AD1" w:rsidRDefault="004D31E5" w:rsidP="004D31E5">
      <w:pPr>
        <w:spacing w:after="0" w:line="240" w:lineRule="auto"/>
        <w:rPr>
          <w:rFonts w:ascii="Arial" w:hAnsi="Arial" w:cs="Arial"/>
        </w:rPr>
      </w:pPr>
      <w:r w:rsidRPr="00300AD1">
        <w:rPr>
          <w:rFonts w:ascii="Arial" w:hAnsi="Arial" w:cs="Arial"/>
        </w:rPr>
        <w:t>installationsbekendtgørelsens bestemmelser følges, herunder de særlige installationskrav som fremgår af § 43</w:t>
      </w:r>
      <w:r w:rsidR="004669F1">
        <w:rPr>
          <w:rFonts w:ascii="Arial" w:hAnsi="Arial" w:cs="Arial"/>
        </w:rPr>
        <w:t>.</w:t>
      </w:r>
      <w:r w:rsidR="00300AD1">
        <w:rPr>
          <w:rFonts w:ascii="Arial" w:hAnsi="Arial" w:cs="Arial"/>
        </w:rPr>
        <w:t xml:space="preserve"> </w:t>
      </w:r>
      <w:r w:rsidR="004669F1">
        <w:rPr>
          <w:rFonts w:ascii="Arial" w:hAnsi="Arial" w:cs="Arial"/>
        </w:rPr>
        <w:t>I</w:t>
      </w:r>
      <w:r w:rsidRPr="00300AD1">
        <w:rPr>
          <w:rFonts w:ascii="Arial" w:hAnsi="Arial" w:cs="Arial"/>
        </w:rPr>
        <w:t>nstallationsstikforbindelser skal installeres i overensstemmelse med fabrikantens instruktioner jf. § 18, stk. 2.</w:t>
      </w:r>
    </w:p>
    <w:p w14:paraId="06F2301E" w14:textId="77777777" w:rsidR="00563FDB" w:rsidRDefault="00563FDB" w:rsidP="004D31E5">
      <w:pPr>
        <w:spacing w:after="0" w:line="240" w:lineRule="auto"/>
        <w:rPr>
          <w:rFonts w:ascii="Arial" w:hAnsi="Arial" w:cs="Arial"/>
        </w:rPr>
      </w:pPr>
    </w:p>
    <w:p w14:paraId="142C915E" w14:textId="77777777" w:rsidR="004D31E5" w:rsidRPr="00300AD1" w:rsidRDefault="004D31E5" w:rsidP="004D31E5">
      <w:pPr>
        <w:spacing w:after="0" w:line="240" w:lineRule="auto"/>
        <w:rPr>
          <w:rFonts w:ascii="Arial" w:hAnsi="Arial" w:cs="Arial"/>
        </w:rPr>
      </w:pPr>
      <w:r w:rsidRPr="00300AD1">
        <w:rPr>
          <w:rFonts w:ascii="Arial" w:hAnsi="Arial" w:cs="Arial"/>
        </w:rPr>
        <w:t>Sikkerhedsstyrelsen accepterer fortsat, at ledning</w:t>
      </w:r>
      <w:r w:rsidR="00300AD1">
        <w:rPr>
          <w:rFonts w:ascii="Arial" w:hAnsi="Arial" w:cs="Arial"/>
        </w:rPr>
        <w:t xml:space="preserve">ssamlinger i forbindelsesrum på </w:t>
      </w:r>
      <w:r w:rsidRPr="00300AD1">
        <w:rPr>
          <w:rFonts w:ascii="Arial" w:hAnsi="Arial" w:cs="Arial"/>
        </w:rPr>
        <w:t>indbygningsarmaturer først er</w:t>
      </w:r>
      <w:r w:rsidR="00300AD1">
        <w:rPr>
          <w:rFonts w:ascii="Arial" w:hAnsi="Arial" w:cs="Arial"/>
        </w:rPr>
        <w:t xml:space="preserve"> </w:t>
      </w:r>
      <w:r w:rsidRPr="00300AD1">
        <w:rPr>
          <w:rFonts w:ascii="Arial" w:hAnsi="Arial" w:cs="Arial"/>
        </w:rPr>
        <w:t>tilgængelige, når armaturet er trukket ud af indbygningshullet. Hvis armaturet tilsluttes med en tilledning (cord), skal</w:t>
      </w:r>
      <w:r w:rsidR="00300AD1">
        <w:rPr>
          <w:rFonts w:ascii="Arial" w:hAnsi="Arial" w:cs="Arial"/>
        </w:rPr>
        <w:t xml:space="preserve"> </w:t>
      </w:r>
      <w:r w:rsidRPr="00300AD1">
        <w:rPr>
          <w:rFonts w:ascii="Arial" w:hAnsi="Arial" w:cs="Arial"/>
        </w:rPr>
        <w:t>tilslutningsstedet være anbragt let tilgængeligt i forhold til udskæringen for armaturet i loftet, således at samling og</w:t>
      </w:r>
      <w:r w:rsidR="00300AD1">
        <w:rPr>
          <w:rFonts w:ascii="Arial" w:hAnsi="Arial" w:cs="Arial"/>
        </w:rPr>
        <w:t xml:space="preserve"> </w:t>
      </w:r>
      <w:r w:rsidRPr="00300AD1">
        <w:rPr>
          <w:rFonts w:ascii="Arial" w:hAnsi="Arial" w:cs="Arial"/>
        </w:rPr>
        <w:t>tilslutning af ledningerne let kan foretages nedefra, fx gennem udskæringen. Tilslutningsstedet skal installeres i</w:t>
      </w:r>
    </w:p>
    <w:p w14:paraId="0CD18BE8" w14:textId="77777777" w:rsidR="004D31E5" w:rsidRPr="00300AD1" w:rsidRDefault="004669F1" w:rsidP="004D31E5">
      <w:pPr>
        <w:spacing w:after="0" w:line="240" w:lineRule="auto"/>
        <w:rPr>
          <w:rFonts w:ascii="Arial" w:hAnsi="Arial" w:cs="Arial"/>
        </w:rPr>
      </w:pPr>
      <w:r w:rsidRPr="00300AD1">
        <w:rPr>
          <w:rFonts w:ascii="Arial" w:hAnsi="Arial" w:cs="Arial"/>
        </w:rPr>
        <w:t>O</w:t>
      </w:r>
      <w:r w:rsidR="004D31E5" w:rsidRPr="00300AD1">
        <w:rPr>
          <w:rFonts w:ascii="Arial" w:hAnsi="Arial" w:cs="Arial"/>
        </w:rPr>
        <w:t>verensstemmelse</w:t>
      </w:r>
      <w:r>
        <w:rPr>
          <w:rFonts w:ascii="Arial" w:hAnsi="Arial" w:cs="Arial"/>
        </w:rPr>
        <w:t xml:space="preserve"> med</w:t>
      </w:r>
      <w:r w:rsidR="004D31E5" w:rsidRPr="00300AD1">
        <w:rPr>
          <w:rFonts w:ascii="Arial" w:hAnsi="Arial" w:cs="Arial"/>
        </w:rPr>
        <w:t xml:space="preserve"> installationsbekendtgørelsen herunder fabrikantens instruktion.</w:t>
      </w:r>
    </w:p>
    <w:p w14:paraId="5DF10511" w14:textId="77777777" w:rsidR="00EB5864" w:rsidRPr="00300AD1" w:rsidRDefault="00EB5864" w:rsidP="0020153C">
      <w:pPr>
        <w:pBdr>
          <w:bottom w:val="single" w:sz="6" w:space="1" w:color="auto"/>
        </w:pBdr>
        <w:rPr>
          <w:rFonts w:ascii="Arial" w:hAnsi="Arial" w:cs="Arial"/>
          <w:color w:val="000000"/>
        </w:rPr>
      </w:pPr>
    </w:p>
    <w:p w14:paraId="025C4974" w14:textId="63D47ACB" w:rsidR="00300AD1" w:rsidRPr="00132248" w:rsidRDefault="00300AD1" w:rsidP="00A06B91">
      <w:pPr>
        <w:rPr>
          <w:rFonts w:ascii="Arial" w:hAnsi="Arial" w:cs="Arial"/>
          <w:b/>
          <w:bCs/>
          <w:lang w:val="en-US"/>
        </w:rPr>
      </w:pPr>
      <w:r w:rsidRPr="00132248">
        <w:rPr>
          <w:rFonts w:ascii="Arial" w:hAnsi="Arial" w:cs="Arial"/>
          <w:b/>
          <w:bCs/>
          <w:lang w:val="en-US"/>
        </w:rPr>
        <w:t>DS/HD 60364-6</w:t>
      </w:r>
      <w:r w:rsidR="00C87F43" w:rsidRPr="00132248">
        <w:rPr>
          <w:rFonts w:ascii="Arial" w:hAnsi="Arial" w:cs="Arial"/>
          <w:b/>
          <w:bCs/>
          <w:lang w:val="en-US"/>
        </w:rPr>
        <w:t xml:space="preserve">:2016+A11+A12+AC:2017 </w:t>
      </w:r>
      <w:r w:rsidR="000D4CA4" w:rsidRPr="00132248">
        <w:rPr>
          <w:rFonts w:ascii="Arial" w:hAnsi="Arial" w:cs="Arial"/>
          <w:b/>
          <w:bCs/>
          <w:lang w:val="en-US"/>
        </w:rPr>
        <w:t>(SIK)</w:t>
      </w:r>
      <w:r w:rsidR="00BC4D37">
        <w:rPr>
          <w:rFonts w:ascii="Arial" w:hAnsi="Arial" w:cs="Arial"/>
          <w:b/>
          <w:bCs/>
          <w:lang w:val="en-US"/>
        </w:rPr>
        <w:tab/>
      </w:r>
      <w:r w:rsidR="00C87F43" w:rsidRPr="00132248">
        <w:rPr>
          <w:rFonts w:ascii="Arial" w:hAnsi="Arial" w:cs="Arial"/>
          <w:b/>
          <w:bCs/>
          <w:lang w:val="en-US"/>
        </w:rPr>
        <w:tab/>
      </w:r>
      <w:r w:rsidR="00C87F43" w:rsidRPr="00132248">
        <w:rPr>
          <w:rFonts w:ascii="Arial" w:hAnsi="Arial" w:cs="Arial"/>
          <w:b/>
          <w:bCs/>
          <w:lang w:val="en-US"/>
        </w:rPr>
        <w:tab/>
        <w:t>2019-09-25</w:t>
      </w:r>
    </w:p>
    <w:p w14:paraId="2F7FFED1" w14:textId="40616DE9" w:rsidR="00BC4D37" w:rsidRDefault="00A85C09" w:rsidP="00A06B91">
      <w:pPr>
        <w:rPr>
          <w:rFonts w:ascii="Arial" w:hAnsi="Arial" w:cs="Arial"/>
          <w:bCs/>
        </w:rPr>
      </w:pPr>
      <w:r w:rsidRPr="00F8245C">
        <w:rPr>
          <w:rFonts w:ascii="Arial" w:hAnsi="Arial" w:cs="Arial"/>
          <w:b/>
          <w:bCs/>
        </w:rPr>
        <w:t>Måling af jord</w:t>
      </w:r>
      <w:r w:rsidR="00673E08" w:rsidRPr="00F8245C">
        <w:rPr>
          <w:rFonts w:ascii="Arial" w:hAnsi="Arial" w:cs="Arial"/>
          <w:b/>
          <w:bCs/>
        </w:rPr>
        <w:t>fejl</w:t>
      </w:r>
      <w:r w:rsidRPr="00F8245C">
        <w:rPr>
          <w:rFonts w:ascii="Arial" w:hAnsi="Arial" w:cs="Arial"/>
          <w:b/>
          <w:bCs/>
        </w:rPr>
        <w:t>sløj</w:t>
      </w:r>
      <w:r w:rsidR="00673E08" w:rsidRPr="00F8245C">
        <w:rPr>
          <w:rFonts w:ascii="Arial" w:hAnsi="Arial" w:cs="Arial"/>
          <w:b/>
          <w:bCs/>
        </w:rPr>
        <w:t xml:space="preserve">feimpedansen </w:t>
      </w:r>
      <w:r w:rsidR="00BC4D37" w:rsidRPr="00F8245C">
        <w:rPr>
          <w:rFonts w:ascii="Arial" w:hAnsi="Arial" w:cs="Arial"/>
          <w:b/>
          <w:bCs/>
        </w:rPr>
        <w:t>Pkt. 6.4.3.7</w:t>
      </w:r>
    </w:p>
    <w:p w14:paraId="297A8650" w14:textId="6977AEF6" w:rsidR="00A06B91" w:rsidRDefault="00300AD1" w:rsidP="00A06B9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Hvilke krav er der til t</w:t>
      </w:r>
      <w:r w:rsidR="00EB5864" w:rsidRPr="00300AD1">
        <w:rPr>
          <w:rFonts w:ascii="Arial" w:hAnsi="Arial" w:cs="Arial"/>
          <w:bCs/>
        </w:rPr>
        <w:t xml:space="preserve">est af </w:t>
      </w:r>
      <w:r w:rsidR="00F17D78" w:rsidRPr="00300AD1">
        <w:rPr>
          <w:rFonts w:ascii="Arial" w:hAnsi="Arial" w:cs="Arial"/>
          <w:bCs/>
        </w:rPr>
        <w:t>RCD (fejlstrømsafbryder)</w:t>
      </w:r>
      <w:r>
        <w:rPr>
          <w:rFonts w:ascii="Arial" w:hAnsi="Arial" w:cs="Arial"/>
          <w:bCs/>
        </w:rPr>
        <w:t>?</w:t>
      </w:r>
    </w:p>
    <w:p w14:paraId="593C3807" w14:textId="65099774" w:rsidR="00E215D0" w:rsidRPr="00300AD1" w:rsidRDefault="00E215D0" w:rsidP="00A06B9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Udvalgets svar:</w:t>
      </w:r>
    </w:p>
    <w:p w14:paraId="5C7F741E" w14:textId="77777777" w:rsidR="00AC7B62" w:rsidRDefault="001644F0" w:rsidP="00A06B91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06B91" w:rsidRPr="00300AD1">
        <w:rPr>
          <w:rFonts w:ascii="Arial" w:hAnsi="Arial" w:cs="Arial"/>
        </w:rPr>
        <w:t>ravene til afprøvning</w:t>
      </w:r>
      <w:r w:rsidR="00E24320">
        <w:rPr>
          <w:rFonts w:ascii="Arial" w:hAnsi="Arial" w:cs="Arial"/>
        </w:rPr>
        <w:t xml:space="preserve"> jf. DS</w:t>
      </w:r>
      <w:r w:rsidR="00C87F43">
        <w:rPr>
          <w:rFonts w:ascii="Arial" w:hAnsi="Arial" w:cs="Arial"/>
        </w:rPr>
        <w:t>/</w:t>
      </w:r>
      <w:r w:rsidR="00E24320">
        <w:rPr>
          <w:rFonts w:ascii="Arial" w:hAnsi="Arial" w:cs="Arial"/>
        </w:rPr>
        <w:t xml:space="preserve">HD 60364-6, 6.4.3.7 og </w:t>
      </w:r>
      <w:r w:rsidR="00E07C49">
        <w:rPr>
          <w:rFonts w:ascii="Arial" w:hAnsi="Arial" w:cs="Arial"/>
        </w:rPr>
        <w:t>DS/</w:t>
      </w:r>
      <w:r w:rsidR="00E24320">
        <w:rPr>
          <w:rFonts w:ascii="Arial" w:hAnsi="Arial" w:cs="Arial"/>
        </w:rPr>
        <w:t>EN 6</w:t>
      </w:r>
      <w:r w:rsidR="00A06B91" w:rsidRPr="00300AD1">
        <w:rPr>
          <w:rFonts w:ascii="Arial" w:hAnsi="Arial" w:cs="Arial"/>
        </w:rPr>
        <w:t>15</w:t>
      </w:r>
      <w:r w:rsidR="0050052E">
        <w:rPr>
          <w:rFonts w:ascii="Arial" w:hAnsi="Arial" w:cs="Arial"/>
        </w:rPr>
        <w:t>5</w:t>
      </w:r>
      <w:r w:rsidR="00A06B91" w:rsidRPr="00300AD1">
        <w:rPr>
          <w:rFonts w:ascii="Arial" w:hAnsi="Arial" w:cs="Arial"/>
        </w:rPr>
        <w:t>7-6</w:t>
      </w:r>
      <w:r>
        <w:rPr>
          <w:rFonts w:ascii="Arial" w:hAnsi="Arial" w:cs="Arial"/>
        </w:rPr>
        <w:t xml:space="preserve"> er </w:t>
      </w:r>
      <w:r w:rsidR="00A06B91" w:rsidRPr="00300AD1">
        <w:rPr>
          <w:rFonts w:ascii="Arial" w:hAnsi="Arial" w:cs="Arial"/>
        </w:rPr>
        <w:t>som følge</w:t>
      </w:r>
      <w:r w:rsidR="00AC7B62">
        <w:rPr>
          <w:rFonts w:ascii="Arial" w:hAnsi="Arial" w:cs="Arial"/>
        </w:rPr>
        <w:t>r</w:t>
      </w:r>
      <w:r w:rsidR="00A06B91" w:rsidRPr="00300AD1">
        <w:rPr>
          <w:rFonts w:ascii="Arial" w:hAnsi="Arial" w:cs="Arial"/>
        </w:rPr>
        <w:t xml:space="preserve">: </w:t>
      </w:r>
    </w:p>
    <w:p w14:paraId="20969790" w14:textId="77777777" w:rsidR="00A06B91" w:rsidRPr="00300AD1" w:rsidRDefault="00A06B91" w:rsidP="00A06B91">
      <w:pPr>
        <w:rPr>
          <w:rFonts w:ascii="Arial" w:hAnsi="Arial" w:cs="Arial"/>
        </w:rPr>
      </w:pPr>
      <w:r w:rsidRPr="00300AD1">
        <w:rPr>
          <w:rFonts w:ascii="Arial" w:hAnsi="Arial" w:cs="Arial"/>
        </w:rPr>
        <w:t>RCD</w:t>
      </w:r>
      <w:r w:rsidR="00885376">
        <w:rPr>
          <w:rFonts w:ascii="Arial" w:hAnsi="Arial" w:cs="Arial"/>
        </w:rPr>
        <w:t>’</w:t>
      </w:r>
      <w:r w:rsidR="00AC7B62">
        <w:rPr>
          <w:rFonts w:ascii="Arial" w:hAnsi="Arial" w:cs="Arial"/>
        </w:rPr>
        <w:t>en</w:t>
      </w:r>
      <w:r w:rsidRPr="00300AD1">
        <w:rPr>
          <w:rFonts w:ascii="Arial" w:hAnsi="Arial" w:cs="Arial"/>
        </w:rPr>
        <w:t>s egenskaber skal afprøves, hvilket medfører, at en RCD type A skal afprøves ved alle forhold herunder:</w:t>
      </w:r>
    </w:p>
    <w:p w14:paraId="4C414208" w14:textId="77777777" w:rsidR="00A06B91" w:rsidRPr="00300AD1" w:rsidRDefault="00A06B91" w:rsidP="00A06B91">
      <w:pPr>
        <w:rPr>
          <w:rFonts w:ascii="Arial" w:hAnsi="Arial" w:cs="Arial"/>
        </w:rPr>
      </w:pPr>
      <w:r w:rsidRPr="00300AD1">
        <w:rPr>
          <w:rFonts w:ascii="Arial" w:hAnsi="Arial" w:cs="Arial"/>
        </w:rPr>
        <w:t xml:space="preserve">- 0.5 x IΔn og 5 x IΔn afprøves med ren sinus 0° </w:t>
      </w:r>
    </w:p>
    <w:p w14:paraId="7E8F1B1F" w14:textId="77777777" w:rsidR="00A06B91" w:rsidRPr="00300AD1" w:rsidRDefault="00A06B91" w:rsidP="00A06B91">
      <w:pPr>
        <w:rPr>
          <w:rFonts w:ascii="Arial" w:hAnsi="Arial" w:cs="Arial"/>
        </w:rPr>
      </w:pPr>
      <w:r w:rsidRPr="00300AD1">
        <w:rPr>
          <w:rFonts w:ascii="Arial" w:hAnsi="Arial" w:cs="Arial"/>
        </w:rPr>
        <w:t xml:space="preserve">- 1 x IΔn afprøves med ren sinus hhv. 0° og 180° forskydning </w:t>
      </w:r>
    </w:p>
    <w:p w14:paraId="53107BE2" w14:textId="77777777" w:rsidR="00A06B91" w:rsidRPr="00300AD1" w:rsidRDefault="00A06B91" w:rsidP="00A06B91">
      <w:pPr>
        <w:rPr>
          <w:rFonts w:ascii="Arial" w:hAnsi="Arial" w:cs="Arial"/>
        </w:rPr>
      </w:pPr>
      <w:r w:rsidRPr="00300AD1">
        <w:rPr>
          <w:rFonts w:ascii="Arial" w:hAnsi="Arial" w:cs="Arial"/>
        </w:rPr>
        <w:t>- 1 x IΔn afprøves med pulserende d.c. ved 0° og 180° overlejret på 6 mA d.c.</w:t>
      </w:r>
    </w:p>
    <w:p w14:paraId="3A6D5E40" w14:textId="77777777" w:rsidR="002839D5" w:rsidRPr="00300AD1" w:rsidRDefault="002839D5" w:rsidP="00EB5864">
      <w:pPr>
        <w:pBdr>
          <w:bottom w:val="single" w:sz="6" w:space="1" w:color="auto"/>
        </w:pBdr>
        <w:rPr>
          <w:rFonts w:ascii="Arial" w:hAnsi="Arial" w:cs="Arial"/>
        </w:rPr>
      </w:pPr>
    </w:p>
    <w:p w14:paraId="10C58C3A" w14:textId="13461354" w:rsidR="00DE7D2C" w:rsidRPr="00300AD1" w:rsidRDefault="00DE7D2C" w:rsidP="00EB5864">
      <w:pPr>
        <w:rPr>
          <w:rFonts w:ascii="Arial" w:hAnsi="Arial" w:cs="Arial"/>
          <w:b/>
          <w:bCs/>
        </w:rPr>
      </w:pPr>
      <w:r w:rsidRPr="00300AD1">
        <w:rPr>
          <w:rFonts w:ascii="Arial" w:hAnsi="Arial" w:cs="Arial"/>
          <w:b/>
          <w:bCs/>
        </w:rPr>
        <w:t>DS/EN 50110</w:t>
      </w:r>
      <w:r w:rsidR="00C87F43">
        <w:rPr>
          <w:rFonts w:ascii="Arial" w:hAnsi="Arial" w:cs="Arial"/>
          <w:b/>
          <w:bCs/>
        </w:rPr>
        <w:t>-1:2013</w:t>
      </w:r>
      <w:r w:rsidR="00AD110C">
        <w:rPr>
          <w:rFonts w:ascii="Arial" w:hAnsi="Arial" w:cs="Arial"/>
          <w:b/>
          <w:bCs/>
        </w:rPr>
        <w:tab/>
      </w:r>
      <w:r w:rsidR="00C87F43">
        <w:rPr>
          <w:rFonts w:ascii="Arial" w:hAnsi="Arial" w:cs="Arial"/>
          <w:b/>
          <w:bCs/>
        </w:rPr>
        <w:tab/>
      </w:r>
      <w:r w:rsidR="00C87F43">
        <w:rPr>
          <w:rFonts w:ascii="Arial" w:hAnsi="Arial" w:cs="Arial"/>
          <w:b/>
          <w:bCs/>
        </w:rPr>
        <w:tab/>
      </w:r>
      <w:r w:rsidR="00C87F43">
        <w:rPr>
          <w:rFonts w:ascii="Arial" w:hAnsi="Arial" w:cs="Arial"/>
          <w:b/>
          <w:bCs/>
        </w:rPr>
        <w:tab/>
      </w:r>
      <w:r w:rsidR="00C87F43">
        <w:rPr>
          <w:rFonts w:ascii="Arial" w:hAnsi="Arial" w:cs="Arial"/>
          <w:b/>
          <w:bCs/>
        </w:rPr>
        <w:tab/>
        <w:t>2019-09-25</w:t>
      </w:r>
    </w:p>
    <w:p w14:paraId="3E02606E" w14:textId="7FB24282" w:rsidR="00AD110C" w:rsidRDefault="0023507C" w:rsidP="00EB586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Kontrol af spændingsløs tilstand </w:t>
      </w:r>
      <w:r w:rsidR="00AD110C">
        <w:rPr>
          <w:rFonts w:ascii="Arial" w:hAnsi="Arial" w:cs="Arial"/>
          <w:b/>
          <w:bCs/>
        </w:rPr>
        <w:t>Pkt.</w:t>
      </w:r>
      <w:r w:rsidR="00AD110C" w:rsidRPr="00300AD1">
        <w:rPr>
          <w:rFonts w:ascii="Arial" w:hAnsi="Arial" w:cs="Arial"/>
          <w:b/>
          <w:bCs/>
        </w:rPr>
        <w:t xml:space="preserve"> 6.2.4.1</w:t>
      </w:r>
    </w:p>
    <w:p w14:paraId="05A151C9" w14:textId="0260289A" w:rsidR="00EB5864" w:rsidRDefault="004D31E5" w:rsidP="00EB5864">
      <w:pPr>
        <w:rPr>
          <w:rFonts w:ascii="Arial" w:hAnsi="Arial" w:cs="Arial"/>
          <w:bCs/>
        </w:rPr>
      </w:pPr>
      <w:r w:rsidRPr="00690832">
        <w:rPr>
          <w:rFonts w:ascii="Arial" w:hAnsi="Arial" w:cs="Arial"/>
          <w:bCs/>
        </w:rPr>
        <w:t>Skal der anvendes spændingstester</w:t>
      </w:r>
      <w:r w:rsidR="00EB5864" w:rsidRPr="00690832">
        <w:rPr>
          <w:rFonts w:ascii="Arial" w:hAnsi="Arial" w:cs="Arial"/>
          <w:bCs/>
        </w:rPr>
        <w:t xml:space="preserve"> </w:t>
      </w:r>
      <w:r w:rsidRPr="00690832">
        <w:rPr>
          <w:rFonts w:ascii="Arial" w:hAnsi="Arial" w:cs="Arial"/>
          <w:bCs/>
        </w:rPr>
        <w:t>efter DS/EN 61243-3 J</w:t>
      </w:r>
      <w:r w:rsidR="00563FDB" w:rsidRPr="00690832">
        <w:rPr>
          <w:rFonts w:ascii="Arial" w:hAnsi="Arial" w:cs="Arial"/>
          <w:bCs/>
        </w:rPr>
        <w:t>f</w:t>
      </w:r>
      <w:r w:rsidRPr="00690832">
        <w:rPr>
          <w:rFonts w:ascii="Arial" w:hAnsi="Arial" w:cs="Arial"/>
          <w:bCs/>
        </w:rPr>
        <w:t>. DS/</w:t>
      </w:r>
      <w:r w:rsidR="00EB5864" w:rsidRPr="00690832">
        <w:rPr>
          <w:rFonts w:ascii="Arial" w:hAnsi="Arial" w:cs="Arial"/>
          <w:bCs/>
        </w:rPr>
        <w:t>EN 50110, 6.2.4.1</w:t>
      </w:r>
      <w:r w:rsidR="00563FDB" w:rsidRPr="00690832">
        <w:rPr>
          <w:rFonts w:ascii="Arial" w:hAnsi="Arial" w:cs="Arial"/>
          <w:bCs/>
        </w:rPr>
        <w:t>?</w:t>
      </w:r>
      <w:r w:rsidR="00EB5864" w:rsidRPr="00690832">
        <w:rPr>
          <w:rFonts w:ascii="Arial" w:hAnsi="Arial" w:cs="Arial"/>
          <w:bCs/>
        </w:rPr>
        <w:t xml:space="preserve"> </w:t>
      </w:r>
    </w:p>
    <w:p w14:paraId="607245B5" w14:textId="09E951A4" w:rsidR="00E215D0" w:rsidRPr="00690832" w:rsidRDefault="00E215D0" w:rsidP="00EB586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Udvalgets svar:</w:t>
      </w:r>
    </w:p>
    <w:p w14:paraId="18CB2ECA" w14:textId="77777777" w:rsidR="008A48A3" w:rsidRPr="00690832" w:rsidRDefault="008A48A3" w:rsidP="008A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0832">
        <w:rPr>
          <w:rFonts w:ascii="Arial" w:hAnsi="Arial" w:cs="Arial"/>
        </w:rPr>
        <w:t>Hvis der anvendes spændingsdetektorer eller spændingsdetekterende systemer (VDS), skal disse opfylde kravene i EN 61243-1, EN 61243-2, EN 61243-3 eller EN 61243-5.</w:t>
      </w:r>
    </w:p>
    <w:p w14:paraId="45CEB9A6" w14:textId="77777777" w:rsidR="008A48A3" w:rsidRPr="00690832" w:rsidRDefault="008A48A3" w:rsidP="008A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B4ECF9" w14:textId="77777777" w:rsidR="00EB5864" w:rsidRPr="00690832" w:rsidRDefault="00743AB8" w:rsidP="00EB5864">
      <w:pPr>
        <w:pStyle w:val="Default"/>
        <w:rPr>
          <w:sz w:val="22"/>
          <w:szCs w:val="22"/>
        </w:rPr>
      </w:pPr>
      <w:r w:rsidRPr="00690832">
        <w:rPr>
          <w:sz w:val="22"/>
          <w:szCs w:val="22"/>
        </w:rPr>
        <w:t xml:space="preserve">Udvalget har haft en </w:t>
      </w:r>
      <w:r w:rsidR="001644F0" w:rsidRPr="00690832">
        <w:rPr>
          <w:sz w:val="22"/>
          <w:szCs w:val="22"/>
        </w:rPr>
        <w:t xml:space="preserve">længere </w:t>
      </w:r>
      <w:r w:rsidRPr="00690832">
        <w:rPr>
          <w:sz w:val="22"/>
          <w:szCs w:val="22"/>
        </w:rPr>
        <w:t>d</w:t>
      </w:r>
      <w:r w:rsidR="00EB5864" w:rsidRPr="00690832">
        <w:rPr>
          <w:sz w:val="22"/>
          <w:szCs w:val="22"/>
        </w:rPr>
        <w:t>røftelse om kontrol af spændi</w:t>
      </w:r>
      <w:r w:rsidR="00316435" w:rsidRPr="00690832">
        <w:rPr>
          <w:sz w:val="22"/>
          <w:szCs w:val="22"/>
        </w:rPr>
        <w:t>ngsløs tilstand og</w:t>
      </w:r>
      <w:r w:rsidR="00EB5864" w:rsidRPr="00690832">
        <w:rPr>
          <w:sz w:val="22"/>
          <w:szCs w:val="22"/>
        </w:rPr>
        <w:t xml:space="preserve"> </w:t>
      </w:r>
      <w:r w:rsidRPr="00690832">
        <w:rPr>
          <w:sz w:val="22"/>
          <w:szCs w:val="22"/>
        </w:rPr>
        <w:t xml:space="preserve">er kommet med en </w:t>
      </w:r>
      <w:r w:rsidR="00EB5864" w:rsidRPr="00690832">
        <w:rPr>
          <w:sz w:val="22"/>
          <w:szCs w:val="22"/>
        </w:rPr>
        <w:t>uddybelse af</w:t>
      </w:r>
      <w:r w:rsidR="00263B40" w:rsidRPr="00690832">
        <w:rPr>
          <w:sz w:val="22"/>
          <w:szCs w:val="22"/>
        </w:rPr>
        <w:t xml:space="preserve"> den engelske tekst og</w:t>
      </w:r>
      <w:r w:rsidR="00EB5864" w:rsidRPr="00690832">
        <w:rPr>
          <w:sz w:val="22"/>
          <w:szCs w:val="22"/>
        </w:rPr>
        <w:t xml:space="preserve"> oversættelsen</w:t>
      </w:r>
      <w:r w:rsidR="00263B40" w:rsidRPr="00690832">
        <w:rPr>
          <w:sz w:val="22"/>
          <w:szCs w:val="22"/>
        </w:rPr>
        <w:t xml:space="preserve"> til dansk</w:t>
      </w:r>
      <w:r w:rsidR="00EB5864" w:rsidRPr="00690832">
        <w:rPr>
          <w:sz w:val="22"/>
          <w:szCs w:val="22"/>
        </w:rPr>
        <w:t xml:space="preserve">: </w:t>
      </w:r>
    </w:p>
    <w:p w14:paraId="05F3D3DE" w14:textId="77777777" w:rsidR="00AC7B62" w:rsidRPr="00690832" w:rsidRDefault="00AC7B62" w:rsidP="00EB5864">
      <w:pPr>
        <w:pStyle w:val="Default"/>
        <w:rPr>
          <w:sz w:val="22"/>
          <w:szCs w:val="22"/>
        </w:rPr>
      </w:pPr>
    </w:p>
    <w:p w14:paraId="7613A318" w14:textId="77777777" w:rsidR="00EB5864" w:rsidRPr="00690832" w:rsidRDefault="00EB5864" w:rsidP="00EB5864">
      <w:pPr>
        <w:pStyle w:val="Default"/>
        <w:rPr>
          <w:sz w:val="22"/>
          <w:szCs w:val="22"/>
        </w:rPr>
      </w:pPr>
      <w:r w:rsidRPr="00690832">
        <w:rPr>
          <w:sz w:val="22"/>
          <w:szCs w:val="22"/>
        </w:rPr>
        <w:t>”in case of” er oversat til ”hvis”</w:t>
      </w:r>
      <w:r w:rsidR="004669F1" w:rsidRPr="00690832">
        <w:rPr>
          <w:sz w:val="22"/>
          <w:szCs w:val="22"/>
        </w:rPr>
        <w:t>.</w:t>
      </w:r>
      <w:r w:rsidRPr="00690832">
        <w:rPr>
          <w:sz w:val="22"/>
          <w:szCs w:val="22"/>
        </w:rPr>
        <w:t xml:space="preserve"> </w:t>
      </w:r>
    </w:p>
    <w:p w14:paraId="6A64B971" w14:textId="77777777" w:rsidR="00EB5864" w:rsidRPr="00690832" w:rsidRDefault="001644F0" w:rsidP="00EB5864">
      <w:pPr>
        <w:pStyle w:val="Default"/>
        <w:rPr>
          <w:sz w:val="22"/>
          <w:szCs w:val="22"/>
        </w:rPr>
      </w:pPr>
      <w:r w:rsidRPr="00690832">
        <w:rPr>
          <w:sz w:val="22"/>
          <w:szCs w:val="22"/>
        </w:rPr>
        <w:t>”In case of” b</w:t>
      </w:r>
      <w:r w:rsidR="00AC7B62" w:rsidRPr="00690832">
        <w:rPr>
          <w:sz w:val="22"/>
          <w:szCs w:val="22"/>
        </w:rPr>
        <w:t>urde</w:t>
      </w:r>
      <w:r w:rsidRPr="00690832">
        <w:rPr>
          <w:sz w:val="22"/>
          <w:szCs w:val="22"/>
        </w:rPr>
        <w:t xml:space="preserve"> </w:t>
      </w:r>
      <w:r w:rsidR="00EB5864" w:rsidRPr="00690832">
        <w:rPr>
          <w:sz w:val="22"/>
          <w:szCs w:val="22"/>
        </w:rPr>
        <w:t>have være</w:t>
      </w:r>
      <w:r w:rsidR="00AC7B62" w:rsidRPr="00690832">
        <w:rPr>
          <w:sz w:val="22"/>
          <w:szCs w:val="22"/>
        </w:rPr>
        <w:t>t</w:t>
      </w:r>
      <w:r w:rsidR="00EB5864" w:rsidRPr="00690832">
        <w:rPr>
          <w:sz w:val="22"/>
          <w:szCs w:val="22"/>
        </w:rPr>
        <w:t xml:space="preserve"> oversat med ”i tilfælde af”</w:t>
      </w:r>
      <w:r w:rsidR="004669F1" w:rsidRPr="00690832">
        <w:rPr>
          <w:sz w:val="22"/>
          <w:szCs w:val="22"/>
        </w:rPr>
        <w:t>.</w:t>
      </w:r>
      <w:r w:rsidR="00EB5864" w:rsidRPr="00690832">
        <w:rPr>
          <w:sz w:val="22"/>
          <w:szCs w:val="22"/>
        </w:rPr>
        <w:t xml:space="preserve"> </w:t>
      </w:r>
    </w:p>
    <w:p w14:paraId="352B0948" w14:textId="77777777" w:rsidR="001644F0" w:rsidRPr="00690832" w:rsidRDefault="001644F0" w:rsidP="00EB5864">
      <w:pPr>
        <w:pStyle w:val="Default"/>
        <w:rPr>
          <w:sz w:val="22"/>
          <w:szCs w:val="22"/>
        </w:rPr>
      </w:pPr>
      <w:r w:rsidRPr="00690832">
        <w:rPr>
          <w:sz w:val="22"/>
          <w:szCs w:val="22"/>
        </w:rPr>
        <w:t>Oversættelsen vil blive præciseret ved næste revision af standarden</w:t>
      </w:r>
      <w:r w:rsidR="00563FDB" w:rsidRPr="00690832">
        <w:rPr>
          <w:sz w:val="22"/>
          <w:szCs w:val="22"/>
        </w:rPr>
        <w:t>.</w:t>
      </w:r>
    </w:p>
    <w:p w14:paraId="4F0FD1D8" w14:textId="77777777" w:rsidR="00316435" w:rsidRPr="00690832" w:rsidRDefault="00316435" w:rsidP="00EB5864">
      <w:pPr>
        <w:pStyle w:val="Default"/>
        <w:rPr>
          <w:sz w:val="22"/>
          <w:szCs w:val="22"/>
        </w:rPr>
      </w:pPr>
    </w:p>
    <w:p w14:paraId="2CF21846" w14:textId="77777777" w:rsidR="00EB5864" w:rsidRPr="00690832" w:rsidRDefault="00316435" w:rsidP="00CA3E1E">
      <w:pPr>
        <w:pBdr>
          <w:bottom w:val="single" w:sz="6" w:space="1" w:color="auto"/>
        </w:pBdr>
        <w:rPr>
          <w:rFonts w:ascii="Arial" w:hAnsi="Arial" w:cs="Arial"/>
        </w:rPr>
      </w:pPr>
      <w:r w:rsidRPr="00690832">
        <w:rPr>
          <w:rFonts w:ascii="Arial" w:hAnsi="Arial" w:cs="Arial"/>
        </w:rPr>
        <w:t xml:space="preserve">Udvalget anbefaler </w:t>
      </w:r>
      <w:r w:rsidR="00743AB8" w:rsidRPr="00690832">
        <w:rPr>
          <w:rFonts w:ascii="Arial" w:hAnsi="Arial" w:cs="Arial"/>
        </w:rPr>
        <w:t>endvidere</w:t>
      </w:r>
      <w:r w:rsidR="004669F1" w:rsidRPr="00690832">
        <w:rPr>
          <w:rFonts w:ascii="Arial" w:hAnsi="Arial" w:cs="Arial"/>
        </w:rPr>
        <w:t>,</w:t>
      </w:r>
      <w:r w:rsidR="00743AB8" w:rsidRPr="00690832">
        <w:rPr>
          <w:rFonts w:ascii="Arial" w:hAnsi="Arial" w:cs="Arial"/>
        </w:rPr>
        <w:t xml:space="preserve"> </w:t>
      </w:r>
      <w:r w:rsidRPr="00690832">
        <w:rPr>
          <w:rFonts w:ascii="Arial" w:hAnsi="Arial" w:cs="Arial"/>
        </w:rPr>
        <w:t>at man anvender et instrument</w:t>
      </w:r>
      <w:r w:rsidR="00AC7B62" w:rsidRPr="00690832">
        <w:rPr>
          <w:rFonts w:ascii="Arial" w:hAnsi="Arial" w:cs="Arial"/>
        </w:rPr>
        <w:t>,</w:t>
      </w:r>
      <w:r w:rsidRPr="00690832">
        <w:rPr>
          <w:rFonts w:ascii="Arial" w:hAnsi="Arial" w:cs="Arial"/>
        </w:rPr>
        <w:t xml:space="preserve"> der opfylder DS/EN 61243-3</w:t>
      </w:r>
      <w:r w:rsidR="00C46C59" w:rsidRPr="00690832">
        <w:rPr>
          <w:rFonts w:ascii="Arial" w:hAnsi="Arial" w:cs="Arial"/>
        </w:rPr>
        <w:t>,</w:t>
      </w:r>
      <w:r w:rsidR="00263B40" w:rsidRPr="00690832">
        <w:rPr>
          <w:rFonts w:ascii="Arial" w:hAnsi="Arial" w:cs="Arial"/>
        </w:rPr>
        <w:t xml:space="preserve"> dvs. </w:t>
      </w:r>
      <w:r w:rsidR="00D80516" w:rsidRPr="00690832">
        <w:rPr>
          <w:rFonts w:ascii="Arial" w:hAnsi="Arial" w:cs="Arial"/>
        </w:rPr>
        <w:t>håndholdt to-polet spændingstester til lavspænding i elektriske installationer under 1000V a.c</w:t>
      </w:r>
      <w:r w:rsidR="00563FDB" w:rsidRPr="00690832">
        <w:rPr>
          <w:rFonts w:ascii="Arial" w:hAnsi="Arial" w:cs="Arial"/>
        </w:rPr>
        <w:t>.</w:t>
      </w:r>
      <w:r w:rsidR="00D80516" w:rsidRPr="00690832">
        <w:rPr>
          <w:rFonts w:ascii="Arial" w:hAnsi="Arial" w:cs="Arial"/>
        </w:rPr>
        <w:t>/1500V d.c</w:t>
      </w:r>
      <w:r w:rsidR="00563FDB" w:rsidRPr="00690832">
        <w:rPr>
          <w:rFonts w:ascii="Arial" w:hAnsi="Arial" w:cs="Arial"/>
        </w:rPr>
        <w:t>.</w:t>
      </w:r>
    </w:p>
    <w:p w14:paraId="5E99EFDF" w14:textId="77777777" w:rsidR="00DE7D2C" w:rsidRPr="00300AD1" w:rsidRDefault="00DE7D2C" w:rsidP="00CA3E1E">
      <w:pPr>
        <w:pBdr>
          <w:bottom w:val="single" w:sz="6" w:space="1" w:color="auto"/>
        </w:pBdr>
        <w:rPr>
          <w:rFonts w:ascii="Arial" w:hAnsi="Arial" w:cs="Arial"/>
        </w:rPr>
      </w:pPr>
    </w:p>
    <w:p w14:paraId="529431ED" w14:textId="77777777" w:rsidR="00DE7D2C" w:rsidRPr="00300AD1" w:rsidRDefault="00DE7D2C" w:rsidP="00EB5864">
      <w:pPr>
        <w:rPr>
          <w:rFonts w:ascii="Arial" w:hAnsi="Arial" w:cs="Arial"/>
        </w:rPr>
      </w:pPr>
    </w:p>
    <w:p w14:paraId="1A4C2ADD" w14:textId="77777777" w:rsidR="00DE7D2C" w:rsidRPr="00C87F43" w:rsidRDefault="00DE7D2C" w:rsidP="00EB5864">
      <w:pPr>
        <w:rPr>
          <w:rFonts w:ascii="Arial" w:hAnsi="Arial" w:cs="Arial"/>
          <w:b/>
          <w:lang w:val="en-US"/>
        </w:rPr>
      </w:pPr>
      <w:r w:rsidRPr="00C87F43">
        <w:rPr>
          <w:rFonts w:ascii="Arial" w:hAnsi="Arial" w:cs="Arial"/>
          <w:b/>
          <w:lang w:val="en-US"/>
        </w:rPr>
        <w:t>DS/HD 60364-5-51</w:t>
      </w:r>
      <w:r w:rsidR="003922D1" w:rsidRPr="00C87F43">
        <w:rPr>
          <w:rFonts w:ascii="Arial" w:hAnsi="Arial" w:cs="Arial"/>
          <w:b/>
          <w:lang w:val="en-US"/>
        </w:rPr>
        <w:t>:2009+A11+A12:2017 (SIK)</w:t>
      </w:r>
      <w:r w:rsidRPr="00C87F43">
        <w:rPr>
          <w:rFonts w:ascii="Arial" w:hAnsi="Arial" w:cs="Arial"/>
          <w:b/>
          <w:lang w:val="en-US"/>
        </w:rPr>
        <w:t xml:space="preserve"> Tabel ZA.1</w:t>
      </w:r>
      <w:r w:rsidR="00C87F43">
        <w:rPr>
          <w:rFonts w:ascii="Arial" w:hAnsi="Arial" w:cs="Arial"/>
          <w:b/>
          <w:lang w:val="en-US"/>
        </w:rPr>
        <w:tab/>
      </w:r>
      <w:r w:rsidR="00C87F43">
        <w:rPr>
          <w:rFonts w:ascii="Arial" w:hAnsi="Arial" w:cs="Arial"/>
          <w:b/>
          <w:lang w:val="en-US"/>
        </w:rPr>
        <w:tab/>
      </w:r>
      <w:r w:rsidR="00D9238F" w:rsidRPr="00C87F43">
        <w:rPr>
          <w:rFonts w:ascii="Arial" w:hAnsi="Arial" w:cs="Arial"/>
          <w:b/>
          <w:lang w:val="en-US"/>
        </w:rPr>
        <w:t>2019-09-25</w:t>
      </w:r>
    </w:p>
    <w:p w14:paraId="77152AFC" w14:textId="77777777" w:rsidR="00DE7D2C" w:rsidRPr="00300AD1" w:rsidRDefault="00DE7D2C" w:rsidP="00DE7D2C">
      <w:pPr>
        <w:rPr>
          <w:rFonts w:ascii="Arial" w:hAnsi="Arial" w:cs="Arial"/>
        </w:rPr>
      </w:pPr>
      <w:r w:rsidRPr="00300AD1">
        <w:rPr>
          <w:rFonts w:ascii="Arial" w:hAnsi="Arial" w:cs="Arial"/>
        </w:rPr>
        <w:t>Hvad er årsagen til</w:t>
      </w:r>
      <w:r w:rsidR="00C46C59">
        <w:rPr>
          <w:rFonts w:ascii="Arial" w:hAnsi="Arial" w:cs="Arial"/>
        </w:rPr>
        <w:t>,</w:t>
      </w:r>
      <w:r w:rsidRPr="00300AD1">
        <w:rPr>
          <w:rFonts w:ascii="Arial" w:hAnsi="Arial" w:cs="Arial"/>
        </w:rPr>
        <w:t xml:space="preserve"> at IP1X og IP2X ikke indgår i kodesystemet for ydre påvirkninger i DS/HD 60364-5-51:2009 Tabel ZA.1?</w:t>
      </w:r>
    </w:p>
    <w:p w14:paraId="021F096D" w14:textId="77777777" w:rsidR="00EB5864" w:rsidRPr="00300AD1" w:rsidRDefault="00EB5864" w:rsidP="00EB5864">
      <w:pPr>
        <w:rPr>
          <w:rFonts w:ascii="Arial" w:hAnsi="Arial" w:cs="Arial"/>
        </w:rPr>
      </w:pPr>
      <w:r w:rsidRPr="00300AD1">
        <w:rPr>
          <w:rFonts w:ascii="Arial" w:hAnsi="Arial" w:cs="Arial"/>
          <w:noProof/>
          <w:lang w:eastAsia="da-DK"/>
        </w:rPr>
        <w:drawing>
          <wp:inline distT="0" distB="0" distL="0" distR="0" wp14:anchorId="5F3F3B88" wp14:editId="17DBCA05">
            <wp:extent cx="5137150" cy="2667000"/>
            <wp:effectExtent l="0" t="0" r="635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72915" w14:textId="77777777" w:rsidR="00E215D0" w:rsidRDefault="00E215D0" w:rsidP="00AC7B6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Udvalgets svar:</w:t>
      </w:r>
    </w:p>
    <w:p w14:paraId="7BB94215" w14:textId="05F4C932" w:rsidR="00AC7B62" w:rsidRDefault="00AC7B62" w:rsidP="00AC7B62">
      <w:pPr>
        <w:pBdr>
          <w:bottom w:val="single" w:sz="12" w:space="1" w:color="auto"/>
        </w:pBdr>
        <w:rPr>
          <w:rFonts w:ascii="Arial" w:hAnsi="Arial" w:cs="Arial"/>
        </w:rPr>
      </w:pPr>
      <w:r w:rsidRPr="00AC7B62">
        <w:rPr>
          <w:rFonts w:ascii="Arial" w:hAnsi="Arial" w:cs="Arial"/>
        </w:rPr>
        <w:t>IP1X og IP2X anvendes ikke til beskyttelse mod faste fremmedlegemer.</w:t>
      </w:r>
    </w:p>
    <w:p w14:paraId="0D291546" w14:textId="77777777" w:rsidR="00AC7B62" w:rsidRDefault="00AC7B62" w:rsidP="00AC7B62">
      <w:pPr>
        <w:pBdr>
          <w:bottom w:val="single" w:sz="12" w:space="1" w:color="auto"/>
        </w:pBdr>
        <w:rPr>
          <w:rFonts w:ascii="Arial" w:hAnsi="Arial" w:cs="Arial"/>
        </w:rPr>
      </w:pPr>
    </w:p>
    <w:p w14:paraId="3736D1B2" w14:textId="50AE2DDA" w:rsidR="00DE049A" w:rsidRPr="00E215D0" w:rsidRDefault="003922D1" w:rsidP="00DE04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DS/HD 60364-5-56:2018 (SIK)</w:t>
      </w:r>
      <w:r w:rsidR="00A9344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2019-09-25</w:t>
      </w:r>
    </w:p>
    <w:p w14:paraId="42ED674C" w14:textId="6C9DAAEB" w:rsidR="00A93441" w:rsidRDefault="00AD110C" w:rsidP="00DE049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Separate forsyningsledere </w:t>
      </w:r>
      <w:r w:rsidR="00A93441">
        <w:rPr>
          <w:rFonts w:ascii="Arial" w:hAnsi="Arial" w:cs="Arial"/>
          <w:b/>
        </w:rPr>
        <w:t>Pkt. 560.6.5</w:t>
      </w:r>
    </w:p>
    <w:p w14:paraId="4D177C7E" w14:textId="4521F629" w:rsidR="00DE049A" w:rsidRPr="00300AD1" w:rsidRDefault="00DE049A" w:rsidP="00DE049A">
      <w:pPr>
        <w:rPr>
          <w:rFonts w:ascii="Arial" w:hAnsi="Arial" w:cs="Arial"/>
        </w:rPr>
      </w:pPr>
      <w:r w:rsidRPr="00300AD1">
        <w:rPr>
          <w:rFonts w:ascii="Arial" w:hAnsi="Arial" w:cs="Arial"/>
        </w:rPr>
        <w:t>Kan en separat forsyningsledning</w:t>
      </w:r>
      <w:r w:rsidR="00AC7B62">
        <w:rPr>
          <w:rFonts w:ascii="Arial" w:hAnsi="Arial" w:cs="Arial"/>
        </w:rPr>
        <w:t>,</w:t>
      </w:r>
      <w:r w:rsidRPr="00300AD1">
        <w:rPr>
          <w:rFonts w:ascii="Arial" w:hAnsi="Arial" w:cs="Arial"/>
        </w:rPr>
        <w:t xml:space="preserve"> tilsluttet det kollektive forsyningsnet, betragtes som effektivt uafhængig af den normale forsyningsledning fra det kollektive forsyningsnet</w:t>
      </w:r>
      <w:r w:rsidR="00563FDB">
        <w:rPr>
          <w:rFonts w:ascii="Arial" w:hAnsi="Arial" w:cs="Arial"/>
        </w:rPr>
        <w:t>?</w:t>
      </w:r>
      <w:r w:rsidRPr="00300AD1">
        <w:rPr>
          <w:rFonts w:ascii="Arial" w:hAnsi="Arial" w:cs="Arial"/>
        </w:rPr>
        <w:t xml:space="preserve"> </w:t>
      </w:r>
    </w:p>
    <w:p w14:paraId="190FDE05" w14:textId="77777777" w:rsidR="00DE049A" w:rsidRPr="00300AD1" w:rsidRDefault="00DE049A" w:rsidP="00DE049A">
      <w:pPr>
        <w:rPr>
          <w:rFonts w:ascii="Arial" w:hAnsi="Arial" w:cs="Arial"/>
        </w:rPr>
      </w:pPr>
      <w:r w:rsidRPr="00300AD1">
        <w:rPr>
          <w:rFonts w:ascii="Arial" w:hAnsi="Arial" w:cs="Arial"/>
        </w:rPr>
        <w:t>Svar:</w:t>
      </w:r>
    </w:p>
    <w:p w14:paraId="10C51D0B" w14:textId="77777777" w:rsidR="00DE049A" w:rsidRPr="00300AD1" w:rsidRDefault="00DE049A" w:rsidP="00DE049A">
      <w:pPr>
        <w:rPr>
          <w:rFonts w:ascii="Arial" w:hAnsi="Arial" w:cs="Arial"/>
        </w:rPr>
      </w:pPr>
      <w:r w:rsidRPr="00300AD1">
        <w:rPr>
          <w:rFonts w:ascii="Arial" w:hAnsi="Arial" w:cs="Arial"/>
        </w:rPr>
        <w:t>I Danmark er det kollektive forsyningsnet et sammenhængende net</w:t>
      </w:r>
      <w:r w:rsidR="00AC7B62">
        <w:rPr>
          <w:rFonts w:ascii="Arial" w:hAnsi="Arial" w:cs="Arial"/>
        </w:rPr>
        <w:t>. E</w:t>
      </w:r>
      <w:r w:rsidRPr="00300AD1">
        <w:rPr>
          <w:rFonts w:ascii="Arial" w:hAnsi="Arial" w:cs="Arial"/>
        </w:rPr>
        <w:t xml:space="preserve">n separat forsyningsledning kan ikke betragtes som effektiv uafhængig af den normale forsyning. </w:t>
      </w:r>
      <w:r w:rsidR="00316435" w:rsidRPr="00300AD1">
        <w:rPr>
          <w:rFonts w:ascii="Arial" w:hAnsi="Arial" w:cs="Arial"/>
        </w:rPr>
        <w:t>Eventuelle spørgsmål</w:t>
      </w:r>
      <w:r w:rsidR="00DE4E8A" w:rsidRPr="00300AD1">
        <w:rPr>
          <w:rFonts w:ascii="Arial" w:hAnsi="Arial" w:cs="Arial"/>
        </w:rPr>
        <w:t xml:space="preserve"> eller afklaring af</w:t>
      </w:r>
      <w:r w:rsidR="00D80516">
        <w:rPr>
          <w:rFonts w:ascii="Arial" w:hAnsi="Arial" w:cs="Arial"/>
        </w:rPr>
        <w:t>,</w:t>
      </w:r>
      <w:r w:rsidR="00DE4E8A" w:rsidRPr="00300AD1">
        <w:rPr>
          <w:rFonts w:ascii="Arial" w:hAnsi="Arial" w:cs="Arial"/>
        </w:rPr>
        <w:t xml:space="preserve"> om hvorvidt det er </w:t>
      </w:r>
      <w:r w:rsidR="00DE7D2C" w:rsidRPr="00300AD1">
        <w:rPr>
          <w:rFonts w:ascii="Arial" w:hAnsi="Arial" w:cs="Arial"/>
        </w:rPr>
        <w:t>uafhængigt</w:t>
      </w:r>
      <w:r w:rsidR="00DE4E8A" w:rsidRPr="00300AD1">
        <w:rPr>
          <w:rFonts w:ascii="Arial" w:hAnsi="Arial" w:cs="Arial"/>
        </w:rPr>
        <w:t>,</w:t>
      </w:r>
      <w:r w:rsidR="00743AB8">
        <w:rPr>
          <w:rFonts w:ascii="Arial" w:hAnsi="Arial" w:cs="Arial"/>
        </w:rPr>
        <w:t xml:space="preserve"> bør</w:t>
      </w:r>
      <w:r w:rsidR="00316435" w:rsidRPr="00300AD1">
        <w:rPr>
          <w:rFonts w:ascii="Arial" w:hAnsi="Arial" w:cs="Arial"/>
        </w:rPr>
        <w:t xml:space="preserve"> rettes til netselskaberne.</w:t>
      </w:r>
    </w:p>
    <w:p w14:paraId="74F7DD73" w14:textId="77777777" w:rsidR="00DE049A" w:rsidRPr="00300AD1" w:rsidRDefault="00DE049A" w:rsidP="0079606B">
      <w:pPr>
        <w:pBdr>
          <w:bottom w:val="single" w:sz="6" w:space="1" w:color="auto"/>
        </w:pBdr>
        <w:rPr>
          <w:rFonts w:ascii="Arial" w:hAnsi="Arial" w:cs="Arial"/>
        </w:rPr>
      </w:pPr>
    </w:p>
    <w:p w14:paraId="651A0315" w14:textId="77777777" w:rsidR="00F67E96" w:rsidRDefault="00F67E96" w:rsidP="0079606B">
      <w:pPr>
        <w:pBdr>
          <w:bottom w:val="single" w:sz="6" w:space="1" w:color="auto"/>
        </w:pBdr>
      </w:pPr>
    </w:p>
    <w:p w14:paraId="31F51964" w14:textId="1012E4EF" w:rsidR="00F67E96" w:rsidRDefault="00F67E96" w:rsidP="00F67E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DS/HD 60364-4-443</w:t>
      </w:r>
      <w:r w:rsidR="007F07EC">
        <w:rPr>
          <w:rFonts w:ascii="Arial" w:hAnsi="Arial" w:cs="Arial"/>
          <w:b/>
        </w:rPr>
        <w:t>:</w:t>
      </w:r>
      <w:r w:rsidR="003922D1">
        <w:rPr>
          <w:rFonts w:ascii="Arial" w:hAnsi="Arial" w:cs="Arial"/>
          <w:b/>
        </w:rPr>
        <w:t xml:space="preserve">2016+Ret.1:2019 (SIK). </w:t>
      </w:r>
      <w:r w:rsidR="008A3A66">
        <w:rPr>
          <w:rFonts w:ascii="Arial" w:hAnsi="Arial" w:cs="Arial"/>
          <w:b/>
        </w:rPr>
        <w:tab/>
      </w:r>
      <w:r w:rsidR="003922D1">
        <w:rPr>
          <w:rFonts w:ascii="Arial" w:hAnsi="Arial" w:cs="Arial"/>
          <w:b/>
        </w:rPr>
        <w:tab/>
      </w:r>
      <w:r w:rsidR="003922D1">
        <w:rPr>
          <w:rFonts w:ascii="Arial" w:hAnsi="Arial" w:cs="Arial"/>
          <w:b/>
        </w:rPr>
        <w:tab/>
      </w:r>
      <w:r w:rsidR="00D9238F">
        <w:rPr>
          <w:rFonts w:ascii="Arial" w:hAnsi="Arial" w:cs="Arial"/>
          <w:b/>
        </w:rPr>
        <w:t>2019-09-25</w:t>
      </w:r>
    </w:p>
    <w:p w14:paraId="5F5372CB" w14:textId="5853A299" w:rsidR="008A3A66" w:rsidRPr="008A3A66" w:rsidRDefault="008A3A66" w:rsidP="00F67E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Regulering af overspænding Pkt. 443.4</w:t>
      </w:r>
    </w:p>
    <w:p w14:paraId="22DBE639" w14:textId="3FE56B55" w:rsidR="00F67E96" w:rsidRDefault="003050A8" w:rsidP="00F67E96">
      <w:pPr>
        <w:rPr>
          <w:rFonts w:ascii="Arial" w:hAnsi="Arial" w:cs="Arial"/>
        </w:rPr>
      </w:pPr>
      <w:r>
        <w:rPr>
          <w:rFonts w:ascii="Arial" w:hAnsi="Arial" w:cs="Arial"/>
        </w:rPr>
        <w:t>I hvilke tilfælde sk</w:t>
      </w:r>
      <w:r w:rsidR="00F67E96">
        <w:rPr>
          <w:rFonts w:ascii="Arial" w:hAnsi="Arial" w:cs="Arial"/>
        </w:rPr>
        <w:t>al der installeres beskyttelse mod overspænding?</w:t>
      </w:r>
    </w:p>
    <w:p w14:paraId="1C8B4D86" w14:textId="666797D4" w:rsidR="00E215D0" w:rsidRDefault="00E215D0" w:rsidP="00F67E96">
      <w:pPr>
        <w:rPr>
          <w:rFonts w:ascii="Arial" w:hAnsi="Arial" w:cs="Arial"/>
        </w:rPr>
      </w:pPr>
      <w:r>
        <w:rPr>
          <w:rFonts w:ascii="Arial" w:hAnsi="Arial" w:cs="Arial"/>
        </w:rPr>
        <w:t>Udvalgets svar:</w:t>
      </w:r>
    </w:p>
    <w:p w14:paraId="691BEAD4" w14:textId="77777777" w:rsidR="00F67E96" w:rsidRDefault="00F67E96" w:rsidP="00F67E96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Dansk Standard har gransket teksten i den danske oversættelse og </w:t>
      </w:r>
      <w:r w:rsidR="00550A74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>i samarbejde med udvalget blevet enig</w:t>
      </w:r>
      <w:r w:rsidR="00E06BB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om en justering og præcisering i den danske tekst. Rettelsen er sket med rettelsesblad </w:t>
      </w:r>
      <w:r w:rsidRPr="00F67E96">
        <w:rPr>
          <w:rFonts w:ascii="Cambria-Bold" w:hAnsi="Cambria-Bold" w:cs="Cambria-Bold"/>
          <w:b/>
          <w:bCs/>
          <w:i/>
        </w:rPr>
        <w:t>DS/HD 60364-4-443:2016 /Ret. 1:2019 (SIK)</w:t>
      </w:r>
      <w:r w:rsidR="00E06BB8">
        <w:rPr>
          <w:rFonts w:ascii="Cambria-Bold" w:hAnsi="Cambria-Bold" w:cs="Cambria-Bold"/>
          <w:b/>
          <w:bCs/>
          <w:i/>
        </w:rPr>
        <w:t>,</w:t>
      </w:r>
      <w:r>
        <w:rPr>
          <w:rFonts w:ascii="Cambria-Bold" w:hAnsi="Cambria-Bold" w:cs="Cambria-Bold"/>
          <w:b/>
          <w:bCs/>
          <w:i/>
        </w:rPr>
        <w:t xml:space="preserve"> </w:t>
      </w:r>
      <w:r w:rsidR="003050A8">
        <w:rPr>
          <w:rFonts w:ascii="Arial" w:hAnsi="Arial" w:cs="Arial"/>
          <w:bCs/>
        </w:rPr>
        <w:t>som kan hentes gratis i DS</w:t>
      </w:r>
      <w:r w:rsidR="008603D8">
        <w:rPr>
          <w:rFonts w:ascii="Arial" w:hAnsi="Arial" w:cs="Arial"/>
          <w:bCs/>
        </w:rPr>
        <w:t>-</w:t>
      </w:r>
      <w:r w:rsidR="003050A8">
        <w:rPr>
          <w:rFonts w:ascii="Arial" w:hAnsi="Arial" w:cs="Arial"/>
          <w:bCs/>
        </w:rPr>
        <w:t>webshoppen.</w:t>
      </w:r>
    </w:p>
    <w:p w14:paraId="6F0CA3D9" w14:textId="77777777" w:rsidR="003050A8" w:rsidRDefault="003050A8" w:rsidP="00F67E9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Endvidere har et udvalgsmedlem skitseret kravene for installation af overspænd</w:t>
      </w:r>
      <w:r w:rsidR="006E39AF">
        <w:rPr>
          <w:rFonts w:ascii="Arial" w:hAnsi="Arial" w:cs="Arial"/>
          <w:bCs/>
        </w:rPr>
        <w:t>ingsbeskyttelse i et flow</w:t>
      </w:r>
      <w:r w:rsidR="008603D8">
        <w:rPr>
          <w:rFonts w:ascii="Arial" w:hAnsi="Arial" w:cs="Arial"/>
          <w:bCs/>
        </w:rPr>
        <w:t>-</w:t>
      </w:r>
      <w:r w:rsidR="006E39AF">
        <w:rPr>
          <w:rFonts w:ascii="Arial" w:hAnsi="Arial" w:cs="Arial"/>
          <w:bCs/>
        </w:rPr>
        <w:t>skema. Se herunder:</w:t>
      </w:r>
    </w:p>
    <w:p w14:paraId="52F6BE0E" w14:textId="77777777" w:rsidR="003050A8" w:rsidRDefault="004E33C9" w:rsidP="00F67E9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5E1CDB9" wp14:editId="229E1CFB">
            <wp:extent cx="6120130" cy="4274093"/>
            <wp:effectExtent l="0" t="0" r="0" b="0"/>
            <wp:docPr id="2" name="Billede 2" descr="C:\Users\TOD\AppData\Local\Microsoft\Windows\INetCache\Content.Word\Flowchart_443.4_20.09.19_jorc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D\AppData\Local\Microsoft\Windows\INetCache\Content.Word\Flowchart_443.4_20.09.19_jorc (00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7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61399" w14:textId="77777777" w:rsidR="00306684" w:rsidRDefault="00306684" w:rsidP="00E06BB8">
      <w:pPr>
        <w:pBdr>
          <w:bottom w:val="single" w:sz="6" w:space="1" w:color="auto"/>
        </w:pBdr>
      </w:pPr>
      <w:r>
        <w:t>Definition</w:t>
      </w:r>
      <w:r w:rsidR="00DE7D33">
        <w:t>en</w:t>
      </w:r>
      <w:r>
        <w:t xml:space="preserve"> af enfamil</w:t>
      </w:r>
      <w:r w:rsidR="008603D8">
        <w:t>i</w:t>
      </w:r>
      <w:r>
        <w:t>ebolig</w:t>
      </w:r>
      <w:r w:rsidR="008603D8">
        <w:t xml:space="preserve"> </w:t>
      </w:r>
      <w:r>
        <w:t>er en bolig med egen stikledning</w:t>
      </w:r>
      <w:r w:rsidR="008603D8">
        <w:t>.</w:t>
      </w:r>
      <w:r>
        <w:br/>
        <w:t xml:space="preserve">De </w:t>
      </w:r>
      <w:r w:rsidR="008603D8">
        <w:t>”</w:t>
      </w:r>
      <w:r>
        <w:t>5 x værdien</w:t>
      </w:r>
      <w:r w:rsidR="008603D8">
        <w:t>”</w:t>
      </w:r>
      <w:r>
        <w:t xml:space="preserve"> er installationen og det tilsluttede udstyr (altså alt det SPD’en beskytter)</w:t>
      </w:r>
      <w:r w:rsidR="008603D8">
        <w:t>.</w:t>
      </w:r>
    </w:p>
    <w:p w14:paraId="7FBAFDD1" w14:textId="66140108" w:rsidR="00F8245C" w:rsidRPr="00247DFE" w:rsidRDefault="00F8245C" w:rsidP="00F8245C">
      <w:pPr>
        <w:rPr>
          <w:b/>
        </w:rPr>
      </w:pPr>
      <w:r w:rsidRPr="00247DFE">
        <w:rPr>
          <w:b/>
        </w:rPr>
        <w:t>DS/HD 60364-</w:t>
      </w:r>
      <w:r w:rsidR="00866AE8" w:rsidRPr="00247DFE">
        <w:rPr>
          <w:b/>
        </w:rPr>
        <w:t>4-41:2017+A11:2017(SIK)</w:t>
      </w:r>
      <w:r w:rsidR="00866AE8" w:rsidRPr="00247DFE">
        <w:rPr>
          <w:b/>
        </w:rPr>
        <w:tab/>
      </w:r>
      <w:r w:rsidR="00866AE8" w:rsidRPr="00247DFE">
        <w:rPr>
          <w:b/>
        </w:rPr>
        <w:tab/>
      </w:r>
      <w:r w:rsidR="00866AE8" w:rsidRPr="00247DFE">
        <w:rPr>
          <w:b/>
        </w:rPr>
        <w:tab/>
      </w:r>
      <w:r w:rsidR="00866AE8" w:rsidRPr="00247DFE">
        <w:rPr>
          <w:b/>
        </w:rPr>
        <w:tab/>
        <w:t>2020</w:t>
      </w:r>
      <w:r w:rsidR="001E20B3" w:rsidRPr="00247DFE">
        <w:rPr>
          <w:b/>
        </w:rPr>
        <w:t>-08-</w:t>
      </w:r>
      <w:r w:rsidR="008F7B55">
        <w:rPr>
          <w:b/>
        </w:rPr>
        <w:t>26</w:t>
      </w:r>
    </w:p>
    <w:p w14:paraId="27972030" w14:textId="71477F04" w:rsidR="00F8245C" w:rsidRPr="00247DFE" w:rsidRDefault="00F8245C" w:rsidP="00F8245C">
      <w:pPr>
        <w:rPr>
          <w:b/>
        </w:rPr>
      </w:pPr>
      <w:r w:rsidRPr="00247DFE">
        <w:rPr>
          <w:b/>
        </w:rPr>
        <w:t xml:space="preserve">Potentialudligning </w:t>
      </w:r>
      <w:r w:rsidR="00247DFE" w:rsidRPr="00247DFE">
        <w:rPr>
          <w:b/>
        </w:rPr>
        <w:t>af</w:t>
      </w:r>
      <w:r w:rsidR="00247DFE">
        <w:rPr>
          <w:b/>
        </w:rPr>
        <w:t xml:space="preserve"> armering i betonk</w:t>
      </w:r>
      <w:r w:rsidR="002C59CB">
        <w:rPr>
          <w:b/>
        </w:rPr>
        <w:t>onstruktioner.</w:t>
      </w:r>
    </w:p>
    <w:p w14:paraId="6BBA97F1" w14:textId="77777777" w:rsidR="00F8245C" w:rsidRDefault="00F8245C" w:rsidP="00F8245C">
      <w:r>
        <w:t>Skal al armering i betonkonstruktioner i eller under jordniveau potentialudlignes?</w:t>
      </w:r>
    </w:p>
    <w:p w14:paraId="3FB9F819" w14:textId="77777777" w:rsidR="008F7B55" w:rsidRDefault="008F7B55" w:rsidP="008F7B55">
      <w:r>
        <w:t xml:space="preserve">Kravet i HD 60364-4-41:2017+A11:2017(SIK), punkt 411.3.1.2 omfatter armering i betonkonstruktioner, som kan forårsage en farlig potentialeforskel. Der skal som udgangspunkt foretages en vurdering af, om </w:t>
      </w:r>
      <w:r w:rsidRPr="000372FE">
        <w:t>konstruktionen</w:t>
      </w:r>
      <w:r>
        <w:t xml:space="preserve"> kan </w:t>
      </w:r>
      <w:r w:rsidRPr="000372FE">
        <w:t>forårsage en farlig potentialforskel</w:t>
      </w:r>
      <w:r>
        <w:t xml:space="preserve">. </w:t>
      </w:r>
    </w:p>
    <w:p w14:paraId="5C6FB32B" w14:textId="77777777" w:rsidR="008F7B55" w:rsidRDefault="008F7B55" w:rsidP="008F7B55">
      <w:r>
        <w:t xml:space="preserve">Hvis denne vurdering viser, at </w:t>
      </w:r>
      <w:r w:rsidRPr="00864B51">
        <w:t>konstruktionen kan forårsage en farlig potentialforskel</w:t>
      </w:r>
      <w:r>
        <w:t xml:space="preserve">, skal konstruktionen potentialudlignes ved at forbinde konstruktionen til </w:t>
      </w:r>
      <w:r w:rsidRPr="00864B51">
        <w:t>hovedjordklemmen</w:t>
      </w:r>
      <w:r>
        <w:t xml:space="preserve">. Vurderingen skal i sådant tilfælde yderligere vise, hvilke konstruktionsdele der er omfattet og det bør angives, hvordan udligningen kan udføres. </w:t>
      </w:r>
    </w:p>
    <w:p w14:paraId="44395B87" w14:textId="77777777" w:rsidR="008F7B55" w:rsidRDefault="008F7B55" w:rsidP="008F7B55">
      <w:r>
        <w:t>Hvis vurderingen derimod viser at konstruktionen ikke kan indføre en farlig potentialeforskel skal dette eftervises ved en risikovurdering og/eller ved måling.</w:t>
      </w:r>
    </w:p>
    <w:p w14:paraId="67791AE3" w14:textId="0BA3776A" w:rsidR="008F7B55" w:rsidRDefault="008F7B55" w:rsidP="008F7B55">
      <w:r>
        <w:t>NOTE: Der kan være yderligere krav til potentialudligning end de generelle krav i HD 60364-4-41:2017+A11:2017(SIK), punkt 411.3.1.2 (som f.eks. særlige områder, lynbeskyttelse, EMC m.v.).</w:t>
      </w:r>
    </w:p>
    <w:p w14:paraId="3B8ABFBB" w14:textId="77777777" w:rsidR="00E06BB8" w:rsidRPr="003050A8" w:rsidRDefault="00E06BB8" w:rsidP="00F67E96">
      <w:pPr>
        <w:rPr>
          <w:rFonts w:ascii="Arial" w:hAnsi="Arial" w:cs="Arial"/>
        </w:rPr>
      </w:pPr>
    </w:p>
    <w:p w14:paraId="54EA3908" w14:textId="77777777" w:rsidR="00F67E96" w:rsidRDefault="00F67E96" w:rsidP="00F67E96">
      <w:pPr>
        <w:rPr>
          <w:rFonts w:ascii="Arial" w:hAnsi="Arial" w:cs="Arial"/>
        </w:rPr>
      </w:pPr>
    </w:p>
    <w:sectPr w:rsidR="00F67E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6828E" w14:textId="77777777" w:rsidR="00F0218D" w:rsidRDefault="00F0218D" w:rsidP="00920B03">
      <w:pPr>
        <w:spacing w:after="0" w:line="240" w:lineRule="auto"/>
      </w:pPr>
      <w:r>
        <w:separator/>
      </w:r>
    </w:p>
  </w:endnote>
  <w:endnote w:type="continuationSeparator" w:id="0">
    <w:p w14:paraId="13D2DF24" w14:textId="77777777" w:rsidR="00F0218D" w:rsidRDefault="00F0218D" w:rsidP="0092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EA36" w14:textId="77777777" w:rsidR="00920B03" w:rsidRDefault="00920B0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D5377" w14:textId="77777777" w:rsidR="00920B03" w:rsidRDefault="00920B0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F6271" w14:textId="77777777" w:rsidR="00920B03" w:rsidRDefault="00920B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CE2DC" w14:textId="77777777" w:rsidR="00F0218D" w:rsidRDefault="00F0218D" w:rsidP="00920B03">
      <w:pPr>
        <w:spacing w:after="0" w:line="240" w:lineRule="auto"/>
      </w:pPr>
      <w:r>
        <w:separator/>
      </w:r>
    </w:p>
  </w:footnote>
  <w:footnote w:type="continuationSeparator" w:id="0">
    <w:p w14:paraId="174274F6" w14:textId="77777777" w:rsidR="00F0218D" w:rsidRDefault="00F0218D" w:rsidP="0092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599B8" w14:textId="77777777" w:rsidR="00920B03" w:rsidRDefault="00920B0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19F32" w14:textId="77777777" w:rsidR="00920B03" w:rsidRDefault="00920B0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19A73" w14:textId="77777777" w:rsidR="00920B03" w:rsidRDefault="00920B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84" style="width:0;height:1.5pt" o:hralign="center" o:bullet="t" o:hrstd="t" o:hr="t" fillcolor="#a0a0a0" stroked="f"/>
    </w:pict>
  </w:numPicBullet>
  <w:numPicBullet w:numPicBulletId="1">
    <w:pict>
      <v:rect id="_x0000_i1085" style="width:0;height:1.5pt" o:hralign="center" o:bullet="t" o:hrstd="t" o:hr="t" fillcolor="#a0a0a0" stroked="f"/>
    </w:pict>
  </w:numPicBullet>
  <w:abstractNum w:abstractNumId="0" w15:restartNumberingAfterBreak="0">
    <w:nsid w:val="0EC3773F"/>
    <w:multiLevelType w:val="hybridMultilevel"/>
    <w:tmpl w:val="02FCE774"/>
    <w:lvl w:ilvl="0" w:tplc="0BA2C6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A59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32B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415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8C64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321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08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A6C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7A4494E"/>
    <w:multiLevelType w:val="hybridMultilevel"/>
    <w:tmpl w:val="CCFC5E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26DC2"/>
    <w:multiLevelType w:val="hybridMultilevel"/>
    <w:tmpl w:val="064A91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245DB"/>
    <w:multiLevelType w:val="hybridMultilevel"/>
    <w:tmpl w:val="4246C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E7DA1"/>
    <w:multiLevelType w:val="hybridMultilevel"/>
    <w:tmpl w:val="9C1E98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00630"/>
    <w:multiLevelType w:val="hybridMultilevel"/>
    <w:tmpl w:val="32C400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10"/>
    <w:rsid w:val="00032284"/>
    <w:rsid w:val="000445DB"/>
    <w:rsid w:val="00045AEF"/>
    <w:rsid w:val="000653D1"/>
    <w:rsid w:val="000B3ADB"/>
    <w:rsid w:val="000D1BA6"/>
    <w:rsid w:val="000D4CA4"/>
    <w:rsid w:val="00104718"/>
    <w:rsid w:val="001106F2"/>
    <w:rsid w:val="00132248"/>
    <w:rsid w:val="001644F0"/>
    <w:rsid w:val="00173566"/>
    <w:rsid w:val="0018375F"/>
    <w:rsid w:val="00184373"/>
    <w:rsid w:val="00186812"/>
    <w:rsid w:val="001C6D66"/>
    <w:rsid w:val="001E20B3"/>
    <w:rsid w:val="001F6977"/>
    <w:rsid w:val="0020153C"/>
    <w:rsid w:val="0023507C"/>
    <w:rsid w:val="00236282"/>
    <w:rsid w:val="00247DFE"/>
    <w:rsid w:val="00250770"/>
    <w:rsid w:val="00263B40"/>
    <w:rsid w:val="00264AA4"/>
    <w:rsid w:val="00281A80"/>
    <w:rsid w:val="002839D5"/>
    <w:rsid w:val="002C4423"/>
    <w:rsid w:val="002C59CB"/>
    <w:rsid w:val="002E6CDB"/>
    <w:rsid w:val="00300AD1"/>
    <w:rsid w:val="003050A8"/>
    <w:rsid w:val="00306684"/>
    <w:rsid w:val="003148A2"/>
    <w:rsid w:val="00316435"/>
    <w:rsid w:val="003360D6"/>
    <w:rsid w:val="00353A66"/>
    <w:rsid w:val="003922D1"/>
    <w:rsid w:val="003975C7"/>
    <w:rsid w:val="00400D52"/>
    <w:rsid w:val="00415840"/>
    <w:rsid w:val="00432359"/>
    <w:rsid w:val="00451D33"/>
    <w:rsid w:val="004669F1"/>
    <w:rsid w:val="00490095"/>
    <w:rsid w:val="004A0273"/>
    <w:rsid w:val="004D31E5"/>
    <w:rsid w:val="004E18B0"/>
    <w:rsid w:val="004E33C9"/>
    <w:rsid w:val="0050052E"/>
    <w:rsid w:val="00534569"/>
    <w:rsid w:val="00540396"/>
    <w:rsid w:val="00550A74"/>
    <w:rsid w:val="00563FDB"/>
    <w:rsid w:val="005C3702"/>
    <w:rsid w:val="005D4C22"/>
    <w:rsid w:val="005E36E0"/>
    <w:rsid w:val="006037CA"/>
    <w:rsid w:val="00621773"/>
    <w:rsid w:val="0062415B"/>
    <w:rsid w:val="006247AE"/>
    <w:rsid w:val="00637F4D"/>
    <w:rsid w:val="00663667"/>
    <w:rsid w:val="00670A6B"/>
    <w:rsid w:val="006716DF"/>
    <w:rsid w:val="00673E08"/>
    <w:rsid w:val="00681944"/>
    <w:rsid w:val="00690832"/>
    <w:rsid w:val="006A2064"/>
    <w:rsid w:val="006A2C53"/>
    <w:rsid w:val="006C015F"/>
    <w:rsid w:val="006D23AB"/>
    <w:rsid w:val="006E31B2"/>
    <w:rsid w:val="006E39AF"/>
    <w:rsid w:val="00703E73"/>
    <w:rsid w:val="00710628"/>
    <w:rsid w:val="007355E7"/>
    <w:rsid w:val="00743AB8"/>
    <w:rsid w:val="007565A6"/>
    <w:rsid w:val="0079606B"/>
    <w:rsid w:val="007C2292"/>
    <w:rsid w:val="007E1604"/>
    <w:rsid w:val="007F07EC"/>
    <w:rsid w:val="00802D75"/>
    <w:rsid w:val="00804E04"/>
    <w:rsid w:val="008603D8"/>
    <w:rsid w:val="00866AE8"/>
    <w:rsid w:val="00867491"/>
    <w:rsid w:val="00880732"/>
    <w:rsid w:val="00885376"/>
    <w:rsid w:val="008A3A66"/>
    <w:rsid w:val="008A48A3"/>
    <w:rsid w:val="008B1998"/>
    <w:rsid w:val="008C7D8D"/>
    <w:rsid w:val="008F7B55"/>
    <w:rsid w:val="0090176E"/>
    <w:rsid w:val="00906188"/>
    <w:rsid w:val="009166FD"/>
    <w:rsid w:val="00920B03"/>
    <w:rsid w:val="009D01DB"/>
    <w:rsid w:val="00A0616A"/>
    <w:rsid w:val="00A06B91"/>
    <w:rsid w:val="00A41555"/>
    <w:rsid w:val="00A63FED"/>
    <w:rsid w:val="00A85C09"/>
    <w:rsid w:val="00A93441"/>
    <w:rsid w:val="00AC7B62"/>
    <w:rsid w:val="00AD110C"/>
    <w:rsid w:val="00AF6FDD"/>
    <w:rsid w:val="00B126E1"/>
    <w:rsid w:val="00B208F9"/>
    <w:rsid w:val="00B324F5"/>
    <w:rsid w:val="00B33905"/>
    <w:rsid w:val="00B3509C"/>
    <w:rsid w:val="00B456BE"/>
    <w:rsid w:val="00B644BB"/>
    <w:rsid w:val="00B7760A"/>
    <w:rsid w:val="00B816B0"/>
    <w:rsid w:val="00BA77CA"/>
    <w:rsid w:val="00BC11A7"/>
    <w:rsid w:val="00BC4D37"/>
    <w:rsid w:val="00BD1777"/>
    <w:rsid w:val="00BD4F50"/>
    <w:rsid w:val="00BF39D5"/>
    <w:rsid w:val="00C1014E"/>
    <w:rsid w:val="00C24B8B"/>
    <w:rsid w:val="00C41A83"/>
    <w:rsid w:val="00C43F93"/>
    <w:rsid w:val="00C46C59"/>
    <w:rsid w:val="00C604D6"/>
    <w:rsid w:val="00C86E94"/>
    <w:rsid w:val="00C87F43"/>
    <w:rsid w:val="00C91300"/>
    <w:rsid w:val="00C977DC"/>
    <w:rsid w:val="00CA3E1E"/>
    <w:rsid w:val="00CB62CC"/>
    <w:rsid w:val="00D05AF8"/>
    <w:rsid w:val="00D45AD6"/>
    <w:rsid w:val="00D80516"/>
    <w:rsid w:val="00D9238F"/>
    <w:rsid w:val="00D94D53"/>
    <w:rsid w:val="00DE049A"/>
    <w:rsid w:val="00DE4E8A"/>
    <w:rsid w:val="00DE65C1"/>
    <w:rsid w:val="00DE7D2C"/>
    <w:rsid w:val="00DE7D33"/>
    <w:rsid w:val="00E06BB8"/>
    <w:rsid w:val="00E07C49"/>
    <w:rsid w:val="00E1376B"/>
    <w:rsid w:val="00E215D0"/>
    <w:rsid w:val="00E24320"/>
    <w:rsid w:val="00E24710"/>
    <w:rsid w:val="00E34756"/>
    <w:rsid w:val="00E57567"/>
    <w:rsid w:val="00E63FBB"/>
    <w:rsid w:val="00E661FD"/>
    <w:rsid w:val="00E716FD"/>
    <w:rsid w:val="00EB5864"/>
    <w:rsid w:val="00EB60EA"/>
    <w:rsid w:val="00ED0A04"/>
    <w:rsid w:val="00ED7DF5"/>
    <w:rsid w:val="00F0218D"/>
    <w:rsid w:val="00F03E56"/>
    <w:rsid w:val="00F17D78"/>
    <w:rsid w:val="00F3532B"/>
    <w:rsid w:val="00F65EF2"/>
    <w:rsid w:val="00F67E96"/>
    <w:rsid w:val="00F8245C"/>
    <w:rsid w:val="00F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600E"/>
  <w15:chartTrackingRefBased/>
  <w15:docId w15:val="{FC2E3A6E-8F23-438C-81A7-A503795D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586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E24710"/>
    <w:rPr>
      <w:color w:val="003366"/>
      <w:u w:val="single"/>
    </w:rPr>
  </w:style>
  <w:style w:type="paragraph" w:customStyle="1" w:styleId="Default">
    <w:name w:val="Default"/>
    <w:rsid w:val="00703E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B58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79606B"/>
    <w:pPr>
      <w:keepNext/>
      <w:keepLines/>
      <w:spacing w:after="0" w:line="240" w:lineRule="auto"/>
      <w:ind w:left="720"/>
      <w:contextualSpacing/>
      <w:jc w:val="both"/>
    </w:pPr>
    <w:rPr>
      <w:rFonts w:ascii="Tahoma" w:eastAsia="Times New Roman" w:hAnsi="Tahoma" w:cs="Times New Roman"/>
      <w:kern w:val="22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20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0B03"/>
  </w:style>
  <w:style w:type="paragraph" w:styleId="Sidefod">
    <w:name w:val="footer"/>
    <w:basedOn w:val="Normal"/>
    <w:link w:val="SidefodTegn"/>
    <w:uiPriority w:val="99"/>
    <w:unhideWhenUsed/>
    <w:rsid w:val="00920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0B0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7F4D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E18B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E18B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E18B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E18B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E18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AC7B51258D14F91DC76F2FE36166E" ma:contentTypeVersion="13" ma:contentTypeDescription="Create a new document." ma:contentTypeScope="" ma:versionID="e16ddbb24ff8c2d9607ff8501ab0dac5">
  <xsd:schema xmlns:xsd="http://www.w3.org/2001/XMLSchema" xmlns:xs="http://www.w3.org/2001/XMLSchema" xmlns:p="http://schemas.microsoft.com/office/2006/metadata/properties" xmlns:ns3="30c465e9-e639-4968-98c6-776645cded0e" xmlns:ns4="b7b0ea96-88c6-4b98-b324-2d1f8d2834ba" targetNamespace="http://schemas.microsoft.com/office/2006/metadata/properties" ma:root="true" ma:fieldsID="5fb8eb98df440882f523f8ddd5e8b60c" ns3:_="" ns4:_="">
    <xsd:import namespace="30c465e9-e639-4968-98c6-776645cded0e"/>
    <xsd:import namespace="b7b0ea96-88c6-4b98-b324-2d1f8d2834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465e9-e639-4968-98c6-776645cded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0ea96-88c6-4b98-b324-2d1f8d283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CA7FA-893F-4BAF-8084-914EB6E2D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EDAAAB-190D-4AB1-9EAF-653D6E7AF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5863C-258D-4ACF-B709-4BECD898B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465e9-e639-4968-98c6-776645cded0e"/>
    <ds:schemaRef ds:uri="b7b0ea96-88c6-4b98-b324-2d1f8d283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84E1C-420B-4C07-A92D-E5F44D50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1263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Tebina</dc:creator>
  <cp:keywords/>
  <dc:description/>
  <cp:lastModifiedBy>Torben Dalsgaard</cp:lastModifiedBy>
  <cp:revision>4</cp:revision>
  <dcterms:created xsi:type="dcterms:W3CDTF">2020-08-17T12:59:00Z</dcterms:created>
  <dcterms:modified xsi:type="dcterms:W3CDTF">2020-08-26T06:44:00Z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0x010100617AC7B51258D14F91DC76F2FE36166E</vt:lpwstr>
  </property>
</Properties>
</file>