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10" w:type="dxa"/>
        <w:tblLayout w:type="fixed"/>
        <w:tblLook w:val="0000" w:firstRow="0" w:lastRow="0" w:firstColumn="0" w:lastColumn="0" w:noHBand="0" w:noVBand="0"/>
      </w:tblPr>
      <w:tblGrid>
        <w:gridCol w:w="2093"/>
        <w:gridCol w:w="4394"/>
        <w:gridCol w:w="3123"/>
      </w:tblGrid>
      <w:tr w:rsidR="00A100C7" w:rsidRPr="00EC795E" w14:paraId="624A821E" w14:textId="77777777">
        <w:trPr>
          <w:cantSplit/>
          <w:trHeight w:val="1087"/>
        </w:trPr>
        <w:tc>
          <w:tcPr>
            <w:tcW w:w="2093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14:paraId="474BE2CB" w14:textId="77777777" w:rsidR="00A100C7" w:rsidRPr="00EC795E" w:rsidRDefault="00A100C7" w:rsidP="000743E7">
            <w:pPr>
              <w:widowControl/>
              <w:spacing w:line="240" w:lineRule="auto"/>
              <w:jc w:val="center"/>
              <w:rPr>
                <w:b/>
                <w:sz w:val="36"/>
              </w:rPr>
            </w:pPr>
            <w:r w:rsidRPr="00EC795E">
              <w:rPr>
                <w:b/>
                <w:sz w:val="36"/>
              </w:rPr>
              <w:t>ISO</w:t>
            </w:r>
          </w:p>
        </w:tc>
        <w:tc>
          <w:tcPr>
            <w:tcW w:w="439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486BF3" w14:textId="77777777" w:rsidR="00A100C7" w:rsidRPr="00EC795E" w:rsidRDefault="00A100C7" w:rsidP="000743E7">
            <w:pPr>
              <w:widowControl/>
              <w:spacing w:line="240" w:lineRule="auto"/>
              <w:jc w:val="center"/>
              <w:rPr>
                <w:b/>
                <w:sz w:val="28"/>
              </w:rPr>
            </w:pPr>
            <w:r w:rsidRPr="00EC795E">
              <w:rPr>
                <w:b/>
                <w:sz w:val="28"/>
              </w:rPr>
              <w:t>REQUEST FOR INTERPRETATI</w:t>
            </w:r>
            <w:smartTag w:uri="urn:schemas-microsoft-com:office:smarttags" w:element="PersonName">
              <w:r w:rsidRPr="00EC795E">
                <w:rPr>
                  <w:b/>
                  <w:sz w:val="28"/>
                </w:rPr>
                <w:t>ON</w:t>
              </w:r>
            </w:smartTag>
          </w:p>
          <w:p w14:paraId="066219D4" w14:textId="77777777" w:rsidR="00A100C7" w:rsidRPr="00EC795E" w:rsidRDefault="00A100C7" w:rsidP="000743E7">
            <w:pPr>
              <w:widowControl/>
              <w:spacing w:line="240" w:lineRule="auto"/>
              <w:jc w:val="center"/>
            </w:pPr>
          </w:p>
        </w:tc>
        <w:tc>
          <w:tcPr>
            <w:tcW w:w="312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85979A" w14:textId="77777777" w:rsidR="00A100C7" w:rsidRPr="00EC795E" w:rsidRDefault="00A100C7" w:rsidP="000743E7">
            <w:pPr>
              <w:pStyle w:val="CommentText"/>
              <w:suppressAutoHyphens w:val="0"/>
              <w:spacing w:before="20" w:after="20"/>
              <w:jc w:val="center"/>
              <w:rPr>
                <w:rFonts w:ascii="Times New Roman" w:hAnsi="Times New Roman"/>
                <w:lang w:eastAsia="zh-CN"/>
              </w:rPr>
            </w:pPr>
            <w:r w:rsidRPr="00EC795E">
              <w:rPr>
                <w:b/>
              </w:rPr>
              <w:t xml:space="preserve">REQ </w:t>
            </w:r>
          </w:p>
          <w:p w14:paraId="2C15FAFD" w14:textId="32FBB428" w:rsidR="00A100C7" w:rsidRPr="00EC795E" w:rsidRDefault="00504406" w:rsidP="000743E7">
            <w:pPr>
              <w:widowControl/>
              <w:spacing w:before="20" w:after="20" w:line="240" w:lineRule="auto"/>
              <w:jc w:val="center"/>
            </w:pPr>
            <w:r>
              <w:t>019-20</w:t>
            </w:r>
          </w:p>
        </w:tc>
      </w:tr>
      <w:tr w:rsidR="003B697D" w:rsidRPr="00EC795E" w14:paraId="0DF9C326" w14:textId="77777777">
        <w:trPr>
          <w:cantSplit/>
          <w:trHeight w:val="234"/>
        </w:trPr>
        <w:tc>
          <w:tcPr>
            <w:tcW w:w="2093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5F6E9A4E" w14:textId="77777777" w:rsidR="0072595F" w:rsidRPr="00EC795E" w:rsidRDefault="0072595F" w:rsidP="000743E7">
            <w:pPr>
              <w:widowControl/>
              <w:spacing w:after="20" w:line="240" w:lineRule="auto"/>
              <w:jc w:val="left"/>
              <w:rPr>
                <w:sz w:val="18"/>
              </w:rPr>
            </w:pPr>
            <w:r w:rsidRPr="00EC795E">
              <w:rPr>
                <w:sz w:val="18"/>
              </w:rPr>
              <w:t>Standard:</w:t>
            </w:r>
          </w:p>
          <w:p w14:paraId="31228145" w14:textId="77777777" w:rsidR="003B697D" w:rsidRPr="00EC795E" w:rsidRDefault="003B697D" w:rsidP="000743E7">
            <w:pPr>
              <w:widowControl/>
              <w:spacing w:before="120" w:after="20" w:line="240" w:lineRule="auto"/>
              <w:jc w:val="left"/>
              <w:rPr>
                <w:sz w:val="24"/>
              </w:rPr>
            </w:pPr>
            <w:r w:rsidRPr="00EC795E">
              <w:rPr>
                <w:b/>
                <w:sz w:val="24"/>
              </w:rPr>
              <w:t>ISO 8124-1</w:t>
            </w:r>
          </w:p>
          <w:p w14:paraId="13C6133A" w14:textId="77777777" w:rsidR="003B697D" w:rsidRPr="00EC795E" w:rsidRDefault="0072595F" w:rsidP="000743E7">
            <w:pPr>
              <w:widowControl/>
              <w:spacing w:before="20" w:after="20" w:line="240" w:lineRule="auto"/>
              <w:jc w:val="left"/>
              <w:rPr>
                <w:lang w:eastAsia="zh-CN"/>
              </w:rPr>
            </w:pPr>
            <w:r w:rsidRPr="00EC795E">
              <w:rPr>
                <w:sz w:val="18"/>
              </w:rPr>
              <w:t>Edition: 20</w:t>
            </w:r>
            <w:r w:rsidR="00F2692C">
              <w:rPr>
                <w:rFonts w:hint="eastAsia"/>
                <w:sz w:val="18"/>
                <w:lang w:eastAsia="zh-CN"/>
              </w:rPr>
              <w:t>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DC65C6" w14:textId="77777777" w:rsidR="003B697D" w:rsidRPr="00EC795E" w:rsidRDefault="003B697D" w:rsidP="000743E7">
            <w:pPr>
              <w:widowControl/>
              <w:spacing w:line="240" w:lineRule="auto"/>
              <w:jc w:val="left"/>
              <w:rPr>
                <w:sz w:val="18"/>
              </w:rPr>
            </w:pPr>
            <w:r w:rsidRPr="00EC795E">
              <w:rPr>
                <w:sz w:val="18"/>
              </w:rPr>
              <w:t>Clause</w:t>
            </w:r>
            <w:r w:rsidR="00C04A20" w:rsidRPr="00EC795E">
              <w:rPr>
                <w:sz w:val="18"/>
              </w:rPr>
              <w:t>(s)</w:t>
            </w:r>
            <w:r w:rsidRPr="00EC795E">
              <w:rPr>
                <w:sz w:val="18"/>
              </w:rPr>
              <w:t>:</w:t>
            </w:r>
          </w:p>
          <w:p w14:paraId="12391E45" w14:textId="47CD4E7F" w:rsidR="003B697D" w:rsidRPr="00EC795E" w:rsidRDefault="006743E7" w:rsidP="000743E7">
            <w:pPr>
              <w:widowControl/>
              <w:spacing w:before="240" w:after="20" w:line="240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4.2</w:t>
            </w:r>
            <w:r w:rsidR="00504406">
              <w:rPr>
                <w:lang w:eastAsia="zh-CN"/>
              </w:rPr>
              <w:t>, 5.24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4AFF87" w14:textId="77777777" w:rsidR="000B77CF" w:rsidRPr="00EC795E" w:rsidRDefault="00C04A20" w:rsidP="000743E7">
            <w:pPr>
              <w:widowControl/>
              <w:spacing w:before="20" w:after="20" w:line="240" w:lineRule="auto"/>
              <w:jc w:val="left"/>
              <w:rPr>
                <w:sz w:val="18"/>
              </w:rPr>
            </w:pPr>
            <w:r w:rsidRPr="00EC795E">
              <w:rPr>
                <w:sz w:val="18"/>
              </w:rPr>
              <w:t>Date</w:t>
            </w:r>
            <w:r w:rsidR="0074346F" w:rsidRPr="00EC795E">
              <w:rPr>
                <w:sz w:val="18"/>
              </w:rPr>
              <w:t xml:space="preserve"> of request:</w:t>
            </w:r>
          </w:p>
          <w:p w14:paraId="3C39BC4E" w14:textId="77777777" w:rsidR="008068D5" w:rsidRPr="00EC795E" w:rsidRDefault="00F61E64" w:rsidP="000743E7">
            <w:pPr>
              <w:widowControl/>
              <w:spacing w:before="20" w:after="20" w:line="240" w:lineRule="auto"/>
              <w:jc w:val="left"/>
              <w:rPr>
                <w:sz w:val="18"/>
                <w:lang w:eastAsia="zh-CN"/>
              </w:rPr>
            </w:pPr>
            <w:r w:rsidRPr="00F61E64">
              <w:rPr>
                <w:sz w:val="18"/>
                <w:lang w:eastAsia="zh-CN"/>
              </w:rPr>
              <w:t>June 1, 2020</w:t>
            </w:r>
          </w:p>
        </w:tc>
      </w:tr>
      <w:tr w:rsidR="003B697D" w:rsidRPr="00EC795E" w14:paraId="0F0294B7" w14:textId="77777777">
        <w:trPr>
          <w:cantSplit/>
          <w:trHeight w:val="345"/>
        </w:trPr>
        <w:tc>
          <w:tcPr>
            <w:tcW w:w="2093" w:type="dxa"/>
            <w:vMerge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41C02EDE" w14:textId="77777777" w:rsidR="003B697D" w:rsidRPr="00EC795E" w:rsidRDefault="003B697D" w:rsidP="000743E7">
            <w:pPr>
              <w:widowControl/>
              <w:spacing w:line="240" w:lineRule="auto"/>
            </w:pPr>
          </w:p>
        </w:tc>
        <w:tc>
          <w:tcPr>
            <w:tcW w:w="4394" w:type="dxa"/>
            <w:vMerge/>
            <w:tcBorders>
              <w:left w:val="nil"/>
              <w:right w:val="single" w:sz="4" w:space="0" w:color="auto"/>
            </w:tcBorders>
          </w:tcPr>
          <w:p w14:paraId="04D2DEFB" w14:textId="77777777" w:rsidR="003B697D" w:rsidRPr="00EC795E" w:rsidRDefault="003B697D" w:rsidP="000743E7">
            <w:pPr>
              <w:widowControl/>
              <w:spacing w:line="240" w:lineRule="auto"/>
            </w:pPr>
          </w:p>
        </w:tc>
        <w:tc>
          <w:tcPr>
            <w:tcW w:w="3123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8C0FEFA" w14:textId="77777777" w:rsidR="003B697D" w:rsidRPr="00EC795E" w:rsidRDefault="00C04A20" w:rsidP="000743E7">
            <w:pPr>
              <w:widowControl/>
              <w:spacing w:after="20" w:line="240" w:lineRule="auto"/>
              <w:rPr>
                <w:sz w:val="18"/>
                <w:lang w:eastAsia="zh-CN"/>
              </w:rPr>
            </w:pPr>
            <w:r w:rsidRPr="00EC795E">
              <w:rPr>
                <w:sz w:val="18"/>
              </w:rPr>
              <w:t>Source:</w:t>
            </w:r>
            <w:r w:rsidR="00746391" w:rsidRPr="00EC795E">
              <w:rPr>
                <w:sz w:val="18"/>
              </w:rPr>
              <w:t xml:space="preserve"> </w:t>
            </w:r>
            <w:r w:rsidR="00F2692C">
              <w:rPr>
                <w:rFonts w:hint="eastAsia"/>
                <w:sz w:val="18"/>
                <w:lang w:eastAsia="zh-CN"/>
              </w:rPr>
              <w:t>China</w:t>
            </w:r>
          </w:p>
        </w:tc>
      </w:tr>
      <w:tr w:rsidR="000B77CF" w:rsidRPr="00EC795E" w14:paraId="415C4DF3" w14:textId="77777777">
        <w:trPr>
          <w:cantSplit/>
          <w:trHeight w:val="454"/>
        </w:trPr>
        <w:tc>
          <w:tcPr>
            <w:tcW w:w="9610" w:type="dxa"/>
            <w:gridSpan w:val="3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710FE66D" w14:textId="77777777" w:rsidR="000B77CF" w:rsidRPr="00EC795E" w:rsidRDefault="000B77CF" w:rsidP="000743E7">
            <w:pPr>
              <w:widowControl/>
              <w:spacing w:before="20" w:after="20" w:line="240" w:lineRule="auto"/>
            </w:pPr>
          </w:p>
          <w:p w14:paraId="0A07DB69" w14:textId="601B4D23" w:rsidR="000B77CF" w:rsidRPr="00EC795E" w:rsidRDefault="000B77CF" w:rsidP="000743E7">
            <w:pPr>
              <w:widowControl/>
              <w:spacing w:before="20" w:after="20" w:line="240" w:lineRule="auto"/>
              <w:rPr>
                <w:sz w:val="20"/>
              </w:rPr>
            </w:pPr>
            <w:r w:rsidRPr="00EC795E">
              <w:rPr>
                <w:sz w:val="20"/>
              </w:rPr>
              <w:t>Keyword(s):</w:t>
            </w:r>
          </w:p>
          <w:p w14:paraId="6A790FB4" w14:textId="77777777" w:rsidR="000B77CF" w:rsidRPr="00EC795E" w:rsidRDefault="00F2692C" w:rsidP="000743E7">
            <w:pPr>
              <w:pStyle w:val="CommentText"/>
              <w:suppressAutoHyphens w:val="0"/>
              <w:spacing w:before="20" w:after="20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</w:t>
            </w:r>
            <w:r>
              <w:rPr>
                <w:rFonts w:ascii="Times New Roman" w:hAnsi="Times New Roman" w:hint="eastAsia"/>
                <w:lang w:eastAsia="zh-CN"/>
              </w:rPr>
              <w:t>buse tes</w:t>
            </w:r>
            <w:r w:rsidR="006743E7">
              <w:rPr>
                <w:rFonts w:ascii="Times New Roman" w:hAnsi="Times New Roman" w:hint="eastAsia"/>
                <w:lang w:eastAsia="zh-CN"/>
              </w:rPr>
              <w:t>ts</w:t>
            </w:r>
          </w:p>
        </w:tc>
      </w:tr>
      <w:tr w:rsidR="00A100C7" w:rsidRPr="00EC795E" w14:paraId="175BF657" w14:textId="77777777">
        <w:trPr>
          <w:cantSplit/>
          <w:trHeight w:val="1961"/>
        </w:trPr>
        <w:tc>
          <w:tcPr>
            <w:tcW w:w="9610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2729CA" w14:textId="77777777" w:rsidR="00A100C7" w:rsidRPr="00EC795E" w:rsidRDefault="00A100C7" w:rsidP="000743E7">
            <w:pPr>
              <w:pStyle w:val="TitretableauannexeH"/>
              <w:tabs>
                <w:tab w:val="clear" w:pos="426"/>
              </w:tabs>
              <w:spacing w:before="240" w:after="240"/>
              <w:rPr>
                <w:rFonts w:ascii="Arial" w:hAnsi="Arial"/>
              </w:rPr>
            </w:pPr>
            <w:r w:rsidRPr="00EC795E">
              <w:rPr>
                <w:rFonts w:ascii="Arial" w:hAnsi="Arial"/>
              </w:rPr>
              <w:t>QUESTI</w:t>
            </w:r>
            <w:smartTag w:uri="urn:schemas-microsoft-com:office:smarttags" w:element="PersonName">
              <w:r w:rsidRPr="00EC795E">
                <w:rPr>
                  <w:rFonts w:ascii="Arial" w:hAnsi="Arial"/>
                </w:rPr>
                <w:t>ON</w:t>
              </w:r>
            </w:smartTag>
          </w:p>
          <w:p w14:paraId="327ADAF0" w14:textId="77777777" w:rsidR="00746391" w:rsidRDefault="00F2692C" w:rsidP="00746391">
            <w:pPr>
              <w:widowControl/>
              <w:spacing w:line="240" w:lineRule="auto"/>
              <w:rPr>
                <w:lang w:val="en-AU" w:eastAsia="zh-CN"/>
              </w:rPr>
            </w:pPr>
            <w:r>
              <w:rPr>
                <w:lang w:val="en-AU"/>
              </w:rPr>
              <w:t>ISO 8124.1:20</w:t>
            </w:r>
            <w:r>
              <w:rPr>
                <w:rFonts w:hint="eastAsia"/>
                <w:lang w:val="en-AU" w:eastAsia="zh-CN"/>
              </w:rPr>
              <w:t>18</w:t>
            </w:r>
            <w:r>
              <w:rPr>
                <w:lang w:val="en-AU"/>
              </w:rPr>
              <w:t xml:space="preserve"> Clause </w:t>
            </w:r>
            <w:r>
              <w:rPr>
                <w:rFonts w:hint="eastAsia"/>
                <w:lang w:val="en-AU" w:eastAsia="zh-CN"/>
              </w:rPr>
              <w:t>4.2</w:t>
            </w:r>
            <w:r w:rsidR="00746391" w:rsidRPr="00EC795E">
              <w:rPr>
                <w:lang w:val="en-AU"/>
              </w:rPr>
              <w:t xml:space="preserve"> (</w:t>
            </w:r>
            <w:r>
              <w:rPr>
                <w:rFonts w:hint="eastAsia"/>
                <w:lang w:val="en-AU" w:eastAsia="zh-CN"/>
              </w:rPr>
              <w:t>reasonably foreseeable abuse</w:t>
            </w:r>
            <w:r w:rsidR="00746391" w:rsidRPr="00EC795E">
              <w:rPr>
                <w:lang w:val="en-AU"/>
              </w:rPr>
              <w:t xml:space="preserve">) specifies </w:t>
            </w:r>
            <w:r>
              <w:rPr>
                <w:lang w:val="en-AU" w:eastAsia="zh-CN"/>
              </w:rPr>
              <w:t>“</w:t>
            </w:r>
            <w:r>
              <w:rPr>
                <w:rFonts w:hint="eastAsia"/>
                <w:lang w:val="en-AU" w:eastAsia="zh-CN"/>
              </w:rPr>
              <w:t>a</w:t>
            </w:r>
            <w:r w:rsidRPr="00F2692C">
              <w:rPr>
                <w:lang w:val="en-AU"/>
              </w:rPr>
              <w:t>fter normal use tests, toys intended for children under 96 months, unless otherwise stated, shall be</w:t>
            </w:r>
            <w:r w:rsidRPr="00F2692C">
              <w:rPr>
                <w:lang w:val="en-AU"/>
              </w:rPr>
              <w:br/>
              <w:t>tested in accordance with the relevant tests in 5.24 (reasonably foreseeable abuse tests) to ensure that</w:t>
            </w:r>
            <w:r w:rsidR="0037735C">
              <w:rPr>
                <w:rFonts w:hint="eastAsia"/>
                <w:lang w:val="en-AU" w:eastAsia="zh-CN"/>
              </w:rPr>
              <w:t xml:space="preserve"> </w:t>
            </w:r>
            <w:r w:rsidRPr="00F2692C">
              <w:rPr>
                <w:lang w:val="en-AU"/>
              </w:rPr>
              <w:t xml:space="preserve">risks as a result of reasonably </w:t>
            </w:r>
            <w:r>
              <w:rPr>
                <w:lang w:val="en-AU"/>
              </w:rPr>
              <w:t>foreseeable abuse are minimized</w:t>
            </w:r>
            <w:r>
              <w:rPr>
                <w:lang w:val="en-AU" w:eastAsia="zh-CN"/>
              </w:rPr>
              <w:t>”</w:t>
            </w:r>
            <w:r w:rsidR="0037735C">
              <w:rPr>
                <w:rFonts w:hint="eastAsia"/>
                <w:lang w:val="en-AU" w:eastAsia="zh-CN"/>
              </w:rPr>
              <w:t xml:space="preserve"> and clause 5.24.1 specifies </w:t>
            </w:r>
            <w:r w:rsidR="0037735C">
              <w:rPr>
                <w:lang w:val="en-AU" w:eastAsia="zh-CN"/>
              </w:rPr>
              <w:t>“</w:t>
            </w:r>
            <w:r w:rsidR="0037735C" w:rsidRPr="0037735C">
              <w:rPr>
                <w:lang w:val="en-AU" w:eastAsia="zh-CN"/>
              </w:rPr>
              <w:t>Unless otherwise stated, these tests are only applicable for toys intend</w:t>
            </w:r>
            <w:r w:rsidR="0037735C">
              <w:rPr>
                <w:lang w:val="en-AU" w:eastAsia="zh-CN"/>
              </w:rPr>
              <w:t>ed for children under 96 months”</w:t>
            </w:r>
            <w:r>
              <w:rPr>
                <w:rFonts w:hint="eastAsia"/>
                <w:lang w:val="en-AU" w:eastAsia="zh-CN"/>
              </w:rPr>
              <w:t xml:space="preserve">. The question is how to define </w:t>
            </w:r>
            <w:r>
              <w:rPr>
                <w:lang w:val="en-AU" w:eastAsia="zh-CN"/>
              </w:rPr>
              <w:t>“</w:t>
            </w:r>
            <w:r>
              <w:rPr>
                <w:rFonts w:hint="eastAsia"/>
                <w:lang w:val="en-AU" w:eastAsia="zh-CN"/>
              </w:rPr>
              <w:t>unless otherwise stated</w:t>
            </w:r>
            <w:r>
              <w:rPr>
                <w:lang w:val="en-AU" w:eastAsia="zh-CN"/>
              </w:rPr>
              <w:t>”</w:t>
            </w:r>
            <w:r>
              <w:rPr>
                <w:rFonts w:hint="eastAsia"/>
                <w:lang w:val="en-AU" w:eastAsia="zh-CN"/>
              </w:rPr>
              <w:t>, for example:</w:t>
            </w:r>
          </w:p>
          <w:p w14:paraId="2E2DF7A4" w14:textId="77777777" w:rsidR="00F2692C" w:rsidRDefault="0037735C" w:rsidP="0037735C">
            <w:pPr>
              <w:widowControl/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val="en-AU" w:eastAsia="zh-CN"/>
              </w:rPr>
              <w:t>1) C</w:t>
            </w:r>
            <w:r w:rsidR="00F2692C">
              <w:rPr>
                <w:rFonts w:hint="eastAsia"/>
                <w:lang w:val="en-AU" w:eastAsia="zh-CN"/>
              </w:rPr>
              <w:t xml:space="preserve">lause 4.8.1 specifies </w:t>
            </w:r>
            <w:r w:rsidR="00F2692C">
              <w:t>“</w:t>
            </w:r>
            <w:r w:rsidR="00F2692C" w:rsidRPr="00B44751">
              <w:t>The protective cap or cover</w:t>
            </w:r>
            <w:r w:rsidR="00F2692C">
              <w:rPr>
                <w:rFonts w:hint="eastAsia"/>
              </w:rPr>
              <w:t xml:space="preserve"> </w:t>
            </w:r>
            <w:r w:rsidR="00F2692C" w:rsidRPr="00B44751">
              <w:t>shall not become detached when tested in accordance with 5.24 (reas</w:t>
            </w:r>
            <w:r w:rsidR="000548A0">
              <w:t>onably foreseeable abuse tests)</w:t>
            </w:r>
            <w:r w:rsidR="00F2692C">
              <w:t>”</w:t>
            </w:r>
            <w:r w:rsidR="000548A0">
              <w:rPr>
                <w:rFonts w:hint="eastAsia"/>
                <w:lang w:eastAsia="zh-CN"/>
              </w:rPr>
              <w:t xml:space="preserve">. </w:t>
            </w:r>
          </w:p>
          <w:p w14:paraId="348208E0" w14:textId="77777777" w:rsidR="0037735C" w:rsidRDefault="0037735C" w:rsidP="0037735C">
            <w:pPr>
              <w:widowControl/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2)  Clause </w:t>
            </w:r>
            <w:r w:rsidR="00E72CA0">
              <w:rPr>
                <w:rFonts w:hint="eastAsia"/>
                <w:lang w:eastAsia="zh-CN"/>
              </w:rPr>
              <w:t>4.3.2</w:t>
            </w:r>
            <w:r>
              <w:rPr>
                <w:rFonts w:hint="eastAsia"/>
                <w:lang w:eastAsia="zh-CN"/>
              </w:rPr>
              <w:t xml:space="preserve"> specifies</w:t>
            </w:r>
            <w:r>
              <w:rPr>
                <w:lang w:eastAsia="zh-CN"/>
              </w:rPr>
              <w:t xml:space="preserve"> “</w:t>
            </w:r>
            <w:r w:rsidRPr="0037735C">
              <w:rPr>
                <w:lang w:eastAsia="zh-CN"/>
              </w:rPr>
              <w:t>Toys, removable components of toys, and components liberated</w:t>
            </w:r>
          </w:p>
          <w:p w14:paraId="7B9B38FC" w14:textId="77777777" w:rsidR="0037735C" w:rsidRPr="0037735C" w:rsidRDefault="0037735C" w:rsidP="0037735C">
            <w:pPr>
              <w:widowControl/>
              <w:spacing w:line="240" w:lineRule="auto"/>
              <w:rPr>
                <w:lang w:eastAsia="zh-CN"/>
              </w:rPr>
            </w:pPr>
            <w:r w:rsidRPr="0037735C">
              <w:rPr>
                <w:lang w:eastAsia="zh-CN"/>
              </w:rPr>
              <w:t xml:space="preserve"> from toys during testing in accordance</w:t>
            </w:r>
            <w:r>
              <w:rPr>
                <w:rFonts w:hint="eastAsia"/>
                <w:lang w:eastAsia="zh-CN"/>
              </w:rPr>
              <w:t xml:space="preserve"> </w:t>
            </w:r>
            <w:r w:rsidRPr="0037735C">
              <w:rPr>
                <w:lang w:eastAsia="zh-CN"/>
              </w:rPr>
              <w:t>with 5.24 (reasonably fore</w:t>
            </w:r>
            <w:r>
              <w:rPr>
                <w:lang w:eastAsia="zh-CN"/>
              </w:rPr>
              <w:t>seeable abuse tests), which fit</w:t>
            </w:r>
            <w:r>
              <w:rPr>
                <w:rFonts w:hint="eastAsia"/>
                <w:lang w:eastAsia="zh-CN"/>
              </w:rPr>
              <w:t xml:space="preserve"> </w:t>
            </w:r>
            <w:r w:rsidRPr="0037735C">
              <w:rPr>
                <w:lang w:eastAsia="zh-CN"/>
              </w:rPr>
              <w:t>entirely in the small-parts cylinder</w:t>
            </w:r>
            <w:r w:rsidR="006743E7">
              <w:rPr>
                <w:rFonts w:ascii="SimSun" w:hAnsi="SimSun" w:hint="eastAsia"/>
                <w:lang w:eastAsia="zh-CN"/>
              </w:rPr>
              <w:t>....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.</w:t>
            </w:r>
          </w:p>
          <w:p w14:paraId="0CE623EB" w14:textId="77777777" w:rsidR="002B7ECD" w:rsidRPr="002B7ECD" w:rsidRDefault="0037735C" w:rsidP="002B7ECD">
            <w:pPr>
              <w:widowControl/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3) C</w:t>
            </w:r>
            <w:r w:rsidR="002B7ECD">
              <w:rPr>
                <w:rFonts w:hint="eastAsia"/>
                <w:lang w:eastAsia="zh-CN"/>
              </w:rPr>
              <w:t xml:space="preserve">lause 4.18.1 specifies </w:t>
            </w:r>
            <w:r w:rsidR="002B7ECD" w:rsidRPr="00A124FA">
              <w:t>“components that function as projectiles which are permanently enclosed within a toy unless</w:t>
            </w:r>
            <w:r w:rsidR="002B7ECD">
              <w:rPr>
                <w:rFonts w:hint="eastAsia"/>
              </w:rPr>
              <w:t xml:space="preserve"> </w:t>
            </w:r>
            <w:r w:rsidR="002B7ECD" w:rsidRPr="00A124FA">
              <w:t>they are liberated when the outer container is tested according to 5.24 (reasonably foreseeable</w:t>
            </w:r>
            <w:r w:rsidR="002B7ECD">
              <w:rPr>
                <w:rFonts w:hint="eastAsia"/>
              </w:rPr>
              <w:t xml:space="preserve"> </w:t>
            </w:r>
            <w:r w:rsidR="002B7ECD" w:rsidRPr="00A124FA">
              <w:t>abuse tests)”</w:t>
            </w:r>
            <w:r w:rsidR="002B7ECD">
              <w:rPr>
                <w:rFonts w:hint="eastAsia"/>
                <w:lang w:eastAsia="zh-CN"/>
              </w:rPr>
              <w:t>.</w:t>
            </w:r>
          </w:p>
          <w:p w14:paraId="73FCB853" w14:textId="77777777" w:rsidR="00F2692C" w:rsidRDefault="0037735C" w:rsidP="00746391">
            <w:pPr>
              <w:widowControl/>
              <w:spacing w:line="240" w:lineRule="auto"/>
              <w:rPr>
                <w:lang w:val="en-AU"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 w:rsidR="000548A0">
              <w:rPr>
                <w:rFonts w:hint="eastAsia"/>
                <w:lang w:val="en-AU" w:eastAsia="zh-CN"/>
              </w:rPr>
              <w:t>)</w:t>
            </w:r>
            <w:r>
              <w:rPr>
                <w:rFonts w:hint="eastAsia"/>
                <w:lang w:val="en-AU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C</w:t>
            </w:r>
            <w:r w:rsidR="000548A0">
              <w:rPr>
                <w:rFonts w:hint="eastAsia"/>
                <w:lang w:eastAsia="zh-CN"/>
              </w:rPr>
              <w:t xml:space="preserve">lause 4.18.3 specifies </w:t>
            </w:r>
            <w:r w:rsidR="000548A0">
              <w:t>“</w:t>
            </w:r>
            <w:r w:rsidR="000548A0" w:rsidRPr="00B33E30">
              <w:t>Projectiles shall not, whatever their orientation, fit entirely into the small parts cylinder when</w:t>
            </w:r>
            <w:r w:rsidR="000548A0">
              <w:rPr>
                <w:rFonts w:hint="eastAsia"/>
              </w:rPr>
              <w:t xml:space="preserve"> </w:t>
            </w:r>
            <w:r w:rsidR="000548A0" w:rsidRPr="00B33E30">
              <w:t>tested in accordance with 5.2 (small parts test). This requirement applies before and after testing</w:t>
            </w:r>
            <w:r w:rsidR="000548A0">
              <w:rPr>
                <w:rFonts w:hint="eastAsia"/>
              </w:rPr>
              <w:t xml:space="preserve"> </w:t>
            </w:r>
            <w:r w:rsidR="000548A0" w:rsidRPr="00B33E30">
              <w:t>in accordance with 5.24 (reasonably foreseeable abuse testing)</w:t>
            </w:r>
            <w:r w:rsidR="000548A0">
              <w:t>”</w:t>
            </w:r>
            <w:r w:rsidR="000548A0">
              <w:rPr>
                <w:rFonts w:hint="eastAsia"/>
                <w:lang w:eastAsia="zh-CN"/>
              </w:rPr>
              <w:t>.</w:t>
            </w:r>
          </w:p>
          <w:p w14:paraId="41382CB5" w14:textId="77777777" w:rsidR="00F2692C" w:rsidRDefault="002B7ECD" w:rsidP="0037735C">
            <w:pPr>
              <w:widowControl/>
              <w:spacing w:line="240" w:lineRule="auto"/>
              <w:rPr>
                <w:lang w:val="en-AU" w:eastAsia="zh-CN"/>
              </w:rPr>
            </w:pPr>
            <w:r>
              <w:rPr>
                <w:rFonts w:hint="eastAsia"/>
                <w:lang w:eastAsia="zh-CN"/>
              </w:rPr>
              <w:t>In these</w:t>
            </w:r>
            <w:r w:rsidR="000548A0">
              <w:rPr>
                <w:rFonts w:hint="eastAsia"/>
                <w:lang w:eastAsia="zh-CN"/>
              </w:rPr>
              <w:t xml:space="preserve"> cases, when</w:t>
            </w:r>
            <w:r w:rsidR="000548A0">
              <w:rPr>
                <w:rFonts w:hint="eastAsia"/>
              </w:rPr>
              <w:t xml:space="preserve"> the toys </w:t>
            </w:r>
            <w:r w:rsidR="000548A0">
              <w:rPr>
                <w:rFonts w:hint="eastAsia"/>
                <w:lang w:eastAsia="zh-CN"/>
              </w:rPr>
              <w:t xml:space="preserve">are </w:t>
            </w:r>
            <w:r w:rsidR="000548A0">
              <w:rPr>
                <w:rFonts w:hint="eastAsia"/>
              </w:rPr>
              <w:t>intended for children over 96 months</w:t>
            </w:r>
            <w:r>
              <w:rPr>
                <w:rFonts w:hint="eastAsia"/>
                <w:lang w:eastAsia="zh-CN"/>
              </w:rPr>
              <w:t>, do they</w:t>
            </w:r>
            <w:r w:rsidR="000548A0">
              <w:rPr>
                <w:rFonts w:hint="eastAsia"/>
                <w:lang w:eastAsia="zh-CN"/>
              </w:rPr>
              <w:t xml:space="preserve"> </w:t>
            </w:r>
            <w:r w:rsidR="000548A0">
              <w:rPr>
                <w:rFonts w:hint="eastAsia"/>
              </w:rPr>
              <w:t xml:space="preserve">need </w:t>
            </w:r>
            <w:r>
              <w:rPr>
                <w:rFonts w:hint="eastAsia"/>
                <w:lang w:eastAsia="zh-CN"/>
              </w:rPr>
              <w:t xml:space="preserve">to be tested </w:t>
            </w:r>
            <w:r w:rsidRPr="00F2692C">
              <w:rPr>
                <w:lang w:val="en-AU"/>
              </w:rPr>
              <w:t>in accordance with the relevant tests in 5.24</w:t>
            </w:r>
            <w:r w:rsidR="000548A0">
              <w:rPr>
                <w:rFonts w:hint="eastAsia"/>
                <w:lang w:eastAsia="zh-CN"/>
              </w:rPr>
              <w:t>?</w:t>
            </w:r>
          </w:p>
          <w:p w14:paraId="2317EC9B" w14:textId="77777777" w:rsidR="00F2692C" w:rsidRDefault="00F2692C" w:rsidP="00746391">
            <w:pPr>
              <w:widowControl/>
              <w:spacing w:line="240" w:lineRule="auto"/>
              <w:rPr>
                <w:lang w:val="en-AU" w:eastAsia="zh-CN"/>
              </w:rPr>
            </w:pPr>
          </w:p>
          <w:p w14:paraId="67DCA968" w14:textId="77777777" w:rsidR="00A100C7" w:rsidRPr="00EC795E" w:rsidRDefault="00A100C7" w:rsidP="0037735C">
            <w:pPr>
              <w:widowControl/>
              <w:spacing w:line="240" w:lineRule="auto"/>
            </w:pPr>
          </w:p>
        </w:tc>
      </w:tr>
      <w:tr w:rsidR="00A100C7" w:rsidRPr="00EC795E" w14:paraId="14582C1B" w14:textId="77777777" w:rsidTr="0037735C">
        <w:trPr>
          <w:cantSplit/>
          <w:trHeight w:val="2101"/>
        </w:trPr>
        <w:tc>
          <w:tcPr>
            <w:tcW w:w="9610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062F3D" w14:textId="77777777" w:rsidR="004F6BF8" w:rsidRPr="00EC795E" w:rsidRDefault="004F6BF8" w:rsidP="000743E7">
            <w:pPr>
              <w:pStyle w:val="TitretableauannexeH"/>
              <w:tabs>
                <w:tab w:val="clear" w:pos="426"/>
              </w:tabs>
              <w:spacing w:before="0" w:after="120"/>
              <w:rPr>
                <w:rFonts w:ascii="Arial" w:hAnsi="Arial"/>
                <w:b w:val="0"/>
                <w:sz w:val="18"/>
              </w:rPr>
            </w:pPr>
            <w:r w:rsidRPr="00EC795E">
              <w:rPr>
                <w:rFonts w:ascii="Arial" w:hAnsi="Arial"/>
                <w:b w:val="0"/>
                <w:sz w:val="18"/>
              </w:rPr>
              <w:t>Convenor</w:t>
            </w:r>
          </w:p>
          <w:p w14:paraId="0E4F0384" w14:textId="5DE4D9B9" w:rsidR="00A100C7" w:rsidRPr="00EC795E" w:rsidRDefault="004F6BF8" w:rsidP="000743E7">
            <w:pPr>
              <w:pStyle w:val="TitretableauannexeH"/>
              <w:tabs>
                <w:tab w:val="clear" w:pos="426"/>
              </w:tabs>
              <w:spacing w:before="0" w:after="240"/>
              <w:rPr>
                <w:rFonts w:ascii="Arial" w:hAnsi="Arial"/>
              </w:rPr>
            </w:pPr>
            <w:r w:rsidRPr="00EC795E">
              <w:rPr>
                <w:rFonts w:ascii="Arial" w:hAnsi="Arial"/>
              </w:rPr>
              <w:t xml:space="preserve">PROPOSED TRACK:    </w:t>
            </w:r>
            <w:r w:rsidR="00A100C7" w:rsidRPr="008337EB">
              <w:rPr>
                <w:rFonts w:ascii="Arial" w:hAnsi="Arial"/>
              </w:rPr>
              <w:t>Interpretation</w:t>
            </w:r>
            <w:r w:rsidR="008337EB">
              <w:rPr>
                <w:rFonts w:ascii="Arial" w:hAnsi="Arial"/>
              </w:rPr>
              <w:t xml:space="preserve"> </w:t>
            </w:r>
            <w:r w:rsidR="008337EB" w:rsidRPr="00EC795E">
              <w:rPr>
                <w:rFonts w:ascii="Arial" w:hAnsi="Arial"/>
              </w:rPr>
              <w:sym w:font="Wingdings" w:char="F0A8"/>
            </w:r>
            <w:r w:rsidR="00A100C7" w:rsidRPr="00EC795E">
              <w:rPr>
                <w:rFonts w:ascii="Arial" w:hAnsi="Arial"/>
              </w:rPr>
              <w:t xml:space="preserve">        Proposal </w:t>
            </w:r>
            <w:r w:rsidR="000B77CF" w:rsidRPr="00EC795E">
              <w:rPr>
                <w:rFonts w:ascii="Arial" w:hAnsi="Arial"/>
              </w:rPr>
              <w:t>for</w:t>
            </w:r>
            <w:r w:rsidR="00A100C7" w:rsidRPr="00EC795E">
              <w:rPr>
                <w:rFonts w:ascii="Arial" w:hAnsi="Arial"/>
              </w:rPr>
              <w:t xml:space="preserve"> amendment </w:t>
            </w:r>
            <w:r w:rsidR="00A100C7" w:rsidRPr="00EC795E">
              <w:rPr>
                <w:rFonts w:ascii="Arial" w:hAnsi="Arial"/>
              </w:rPr>
              <w:sym w:font="Wingdings" w:char="F0A8"/>
            </w:r>
            <w:r w:rsidR="00A100C7" w:rsidRPr="00EC795E">
              <w:rPr>
                <w:rFonts w:ascii="Arial" w:hAnsi="Arial"/>
              </w:rPr>
              <w:t xml:space="preserve">         </w:t>
            </w:r>
            <w:r w:rsidR="00A100C7" w:rsidRPr="008337EB">
              <w:rPr>
                <w:rFonts w:ascii="Arial" w:hAnsi="Arial"/>
                <w:highlight w:val="yellow"/>
              </w:rPr>
              <w:t xml:space="preserve">No action </w:t>
            </w:r>
            <w:r w:rsidR="008337EB" w:rsidRPr="008337EB">
              <w:rPr>
                <w:rFonts w:ascii="Arial" w:hAnsi="Arial"/>
                <w:highlight w:val="yellow"/>
              </w:rPr>
              <w:t>X</w:t>
            </w:r>
          </w:p>
          <w:p w14:paraId="3B48B686" w14:textId="77777777" w:rsidR="003D2385" w:rsidRDefault="003D2385" w:rsidP="0037735C">
            <w:pPr>
              <w:pStyle w:val="TitretableauannexeH"/>
              <w:tabs>
                <w:tab w:val="clear" w:pos="426"/>
              </w:tabs>
              <w:spacing w:before="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Response</w:t>
            </w:r>
            <w:r w:rsidR="004F6BF8" w:rsidRPr="00EC795E">
              <w:rPr>
                <w:rFonts w:ascii="Arial" w:hAnsi="Arial"/>
              </w:rPr>
              <w:t>:</w:t>
            </w:r>
            <w:r w:rsidR="00B06995">
              <w:rPr>
                <w:rFonts w:ascii="Arial" w:hAnsi="Arial"/>
              </w:rPr>
              <w:t xml:space="preserve"> </w:t>
            </w:r>
          </w:p>
          <w:p w14:paraId="4887E27A" w14:textId="212EE23B" w:rsidR="00C92415" w:rsidRDefault="00B06995" w:rsidP="0037735C">
            <w:pPr>
              <w:pStyle w:val="TitretableauannexeH"/>
              <w:tabs>
                <w:tab w:val="clear" w:pos="426"/>
              </w:tabs>
              <w:spacing w:before="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standard is clear that </w:t>
            </w:r>
            <w:r w:rsidR="008337EB">
              <w:rPr>
                <w:rFonts w:ascii="Arial" w:hAnsi="Arial"/>
              </w:rPr>
              <w:t xml:space="preserve">in the case of a toy appropriately age-graded for over 8 years of age, </w:t>
            </w:r>
            <w:r>
              <w:rPr>
                <w:rFonts w:ascii="Arial" w:hAnsi="Arial"/>
              </w:rPr>
              <w:t xml:space="preserve">unless a clause </w:t>
            </w:r>
            <w:r w:rsidR="00B30A34">
              <w:rPr>
                <w:rFonts w:ascii="Arial" w:hAnsi="Arial"/>
              </w:rPr>
              <w:t xml:space="preserve">explicitly specifies that </w:t>
            </w:r>
            <w:r>
              <w:rPr>
                <w:rFonts w:ascii="Arial" w:hAnsi="Arial"/>
              </w:rPr>
              <w:t xml:space="preserve">the reasonably foreseeable abuse requirements of Clause 5.24 </w:t>
            </w:r>
            <w:r w:rsidR="00B30A34">
              <w:rPr>
                <w:rFonts w:ascii="Arial" w:hAnsi="Arial"/>
              </w:rPr>
              <w:t xml:space="preserve">are </w:t>
            </w:r>
            <w:r>
              <w:rPr>
                <w:rFonts w:ascii="Arial" w:hAnsi="Arial"/>
              </w:rPr>
              <w:t xml:space="preserve">to be applied </w:t>
            </w:r>
            <w:r w:rsidR="001458E0">
              <w:rPr>
                <w:rFonts w:ascii="Arial" w:hAnsi="Arial"/>
              </w:rPr>
              <w:t xml:space="preserve">above </w:t>
            </w:r>
            <w:r>
              <w:rPr>
                <w:rFonts w:ascii="Arial" w:hAnsi="Arial"/>
              </w:rPr>
              <w:t>96 months, 5.24 is not to be applied.</w:t>
            </w:r>
          </w:p>
          <w:p w14:paraId="084695F4" w14:textId="5BF9BC86" w:rsidR="00A100C7" w:rsidRDefault="008337EB" w:rsidP="0037735C">
            <w:pPr>
              <w:pStyle w:val="TitretableauannexeH"/>
              <w:tabs>
                <w:tab w:val="clear" w:pos="426"/>
              </w:tabs>
              <w:spacing w:before="0" w:after="24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</w:rPr>
              <w:t>An example of a clause which is explicit regard</w:t>
            </w:r>
            <w:r w:rsidR="00C92415">
              <w:rPr>
                <w:rFonts w:ascii="Arial" w:hAnsi="Arial"/>
              </w:rPr>
              <w:t>ing its application above 96 months</w:t>
            </w:r>
            <w:r w:rsidR="00483BBB">
              <w:rPr>
                <w:rFonts w:ascii="Arial" w:hAnsi="Arial"/>
              </w:rPr>
              <w:t xml:space="preserve"> is 5.12.5</w:t>
            </w:r>
            <w:r w:rsidR="00C92415">
              <w:rPr>
                <w:rFonts w:ascii="Arial" w:hAnsi="Arial"/>
              </w:rPr>
              <w:t>/Table 4, the</w:t>
            </w:r>
            <w:r w:rsidR="00483BBB">
              <w:rPr>
                <w:rFonts w:ascii="Arial" w:hAnsi="Arial"/>
              </w:rPr>
              <w:t xml:space="preserve"> overload test</w:t>
            </w:r>
            <w:r w:rsidR="00C92415">
              <w:rPr>
                <w:rFonts w:ascii="Arial" w:hAnsi="Arial"/>
              </w:rPr>
              <w:t>.</w:t>
            </w:r>
            <w:r w:rsidR="00B06995">
              <w:rPr>
                <w:rFonts w:ascii="Arial" w:hAnsi="Arial"/>
              </w:rPr>
              <w:t xml:space="preserve">  </w:t>
            </w:r>
          </w:p>
          <w:p w14:paraId="16F3718F" w14:textId="77777777" w:rsidR="0037735C" w:rsidRPr="0037735C" w:rsidRDefault="0037735C" w:rsidP="0037735C">
            <w:pPr>
              <w:pStyle w:val="TitretableauannexeH"/>
              <w:tabs>
                <w:tab w:val="clear" w:pos="426"/>
              </w:tabs>
              <w:spacing w:before="0" w:after="240"/>
              <w:rPr>
                <w:rFonts w:ascii="Arial" w:hAnsi="Arial"/>
                <w:lang w:eastAsia="zh-CN"/>
              </w:rPr>
            </w:pPr>
          </w:p>
        </w:tc>
      </w:tr>
      <w:tr w:rsidR="00A100C7" w:rsidRPr="00EC795E" w14:paraId="25A5FC40" w14:textId="77777777">
        <w:trPr>
          <w:cantSplit/>
          <w:trHeight w:val="1701"/>
        </w:trPr>
        <w:tc>
          <w:tcPr>
            <w:tcW w:w="9610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A0C148" w14:textId="77777777" w:rsidR="0020737E" w:rsidRPr="00EC795E" w:rsidRDefault="0020737E" w:rsidP="000743E7">
            <w:pPr>
              <w:pStyle w:val="TitretableauannexeH"/>
              <w:tabs>
                <w:tab w:val="clear" w:pos="426"/>
              </w:tabs>
              <w:spacing w:before="0" w:after="120"/>
              <w:rPr>
                <w:rFonts w:ascii="Arial" w:hAnsi="Arial"/>
                <w:b w:val="0"/>
                <w:sz w:val="18"/>
              </w:rPr>
            </w:pPr>
            <w:r w:rsidRPr="00EC795E">
              <w:rPr>
                <w:rFonts w:ascii="Arial" w:hAnsi="Arial"/>
                <w:b w:val="0"/>
                <w:sz w:val="18"/>
              </w:rPr>
              <w:t>TG members</w:t>
            </w:r>
          </w:p>
          <w:p w14:paraId="5323A6D8" w14:textId="77777777" w:rsidR="00A100C7" w:rsidRPr="00EC795E" w:rsidRDefault="00A100C7" w:rsidP="000743E7">
            <w:pPr>
              <w:pStyle w:val="TitretableauannexeH"/>
              <w:tabs>
                <w:tab w:val="clear" w:pos="426"/>
              </w:tabs>
              <w:spacing w:before="0" w:after="0"/>
              <w:rPr>
                <w:rFonts w:ascii="Arial" w:hAnsi="Arial"/>
              </w:rPr>
            </w:pPr>
            <w:r w:rsidRPr="00EC795E">
              <w:rPr>
                <w:rFonts w:ascii="Arial" w:hAnsi="Arial"/>
              </w:rPr>
              <w:t>C</w:t>
            </w:r>
            <w:r w:rsidR="0020737E" w:rsidRPr="00EC795E">
              <w:rPr>
                <w:rFonts w:ascii="Arial" w:hAnsi="Arial"/>
              </w:rPr>
              <w:t>omments:</w:t>
            </w:r>
          </w:p>
          <w:p w14:paraId="19C49572" w14:textId="77777777" w:rsidR="00AE1077" w:rsidRPr="00EC795E" w:rsidRDefault="00AE1077" w:rsidP="0037735C">
            <w:pPr>
              <w:pStyle w:val="CommentText"/>
            </w:pPr>
          </w:p>
        </w:tc>
      </w:tr>
    </w:tbl>
    <w:p w14:paraId="6BCAE1D0" w14:textId="77777777" w:rsidR="00196517" w:rsidRDefault="00196517" w:rsidP="000743E7">
      <w:pPr>
        <w:pStyle w:val="Heading1"/>
        <w:spacing w:line="240" w:lineRule="auto"/>
        <w:jc w:val="center"/>
      </w:pPr>
    </w:p>
    <w:p w14:paraId="6145DC1A" w14:textId="77777777" w:rsidR="00A100C7" w:rsidRPr="00C26564" w:rsidRDefault="003C684A" w:rsidP="003C684A">
      <w:pPr>
        <w:pStyle w:val="Heading1"/>
        <w:spacing w:line="240" w:lineRule="auto"/>
        <w:rPr>
          <w:lang w:val="en-GB"/>
        </w:rPr>
      </w:pPr>
      <w:r w:rsidRPr="00C26564">
        <w:rPr>
          <w:lang w:val="en-GB"/>
        </w:rPr>
        <w:t xml:space="preserve"> </w:t>
      </w:r>
    </w:p>
    <w:sectPr w:rsidR="00A100C7" w:rsidRPr="00C26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9AC95" w14:textId="77777777" w:rsidR="00DF1225" w:rsidRDefault="00DF1225">
      <w:r>
        <w:separator/>
      </w:r>
    </w:p>
  </w:endnote>
  <w:endnote w:type="continuationSeparator" w:id="0">
    <w:p w14:paraId="35D88B4C" w14:textId="77777777" w:rsidR="00DF1225" w:rsidRDefault="00DF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7ED39" w14:textId="77777777" w:rsidR="00A32227" w:rsidRDefault="00A32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B145D" w14:textId="77777777" w:rsidR="00A32227" w:rsidRDefault="00A32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2D8D" w14:textId="77777777" w:rsidR="00A32227" w:rsidRDefault="00A32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3406B" w14:textId="77777777" w:rsidR="00DF1225" w:rsidRDefault="00DF1225">
      <w:r>
        <w:separator/>
      </w:r>
    </w:p>
  </w:footnote>
  <w:footnote w:type="continuationSeparator" w:id="0">
    <w:p w14:paraId="154D39CF" w14:textId="77777777" w:rsidR="00DF1225" w:rsidRDefault="00DF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DFF69" w14:textId="77777777" w:rsidR="00A32227" w:rsidRDefault="00A32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B35CF" w14:textId="77777777" w:rsidR="00AE1077" w:rsidRDefault="00AE1077">
    <w:pPr>
      <w:pStyle w:val="Header"/>
      <w:jc w:val="right"/>
      <w:rPr>
        <w:lang w:val="de-DE"/>
      </w:rPr>
    </w:pPr>
    <w:r>
      <w:rPr>
        <w:sz w:val="20"/>
        <w:lang w:val="de-DE"/>
      </w:rPr>
      <w:t>doc. 181 N xxx</w:t>
    </w:r>
    <w:r>
      <w:rPr>
        <w:vanish/>
      </w:rPr>
      <w:pgNum/>
    </w:r>
    <w:r>
      <w:rPr>
        <w:sz w:val="20"/>
        <w:lang w:val="de-DE"/>
      </w:rPr>
      <w:t xml:space="preserve"> - page </w:t>
    </w:r>
    <w:r>
      <w:rPr>
        <w:rStyle w:val="PageNumber"/>
      </w:rPr>
      <w:fldChar w:fldCharType="begin"/>
    </w:r>
    <w:r>
      <w:rPr>
        <w:rStyle w:val="PageNumber"/>
        <w:lang w:val="de-DE"/>
      </w:rPr>
      <w:instrText xml:space="preserve"> PAGE </w:instrText>
    </w:r>
    <w:r>
      <w:rPr>
        <w:rStyle w:val="PageNumber"/>
      </w:rPr>
      <w:fldChar w:fldCharType="separate"/>
    </w:r>
    <w:r w:rsidR="0037735C">
      <w:rPr>
        <w:rStyle w:val="PageNumber"/>
        <w:noProof/>
        <w:lang w:val="de-DE"/>
      </w:rPr>
      <w:t>3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BE150" w14:textId="77777777" w:rsidR="00A32227" w:rsidRDefault="00A32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834B1"/>
    <w:multiLevelType w:val="hybridMultilevel"/>
    <w:tmpl w:val="909AE5EA"/>
    <w:lvl w:ilvl="0" w:tplc="CE02E0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7E7DDA"/>
    <w:multiLevelType w:val="hybridMultilevel"/>
    <w:tmpl w:val="E84AEB9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3A89"/>
    <w:multiLevelType w:val="hybridMultilevel"/>
    <w:tmpl w:val="D4D0C7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D4433"/>
    <w:multiLevelType w:val="multilevel"/>
    <w:tmpl w:val="B5D05F72"/>
    <w:name w:val="heading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B0D3163"/>
    <w:multiLevelType w:val="hybridMultilevel"/>
    <w:tmpl w:val="87A695D4"/>
    <w:lvl w:ilvl="0" w:tplc="5A920692">
      <w:start w:val="1"/>
      <w:numFmt w:val="decimal"/>
      <w:lvlText w:val="%1)"/>
      <w:lvlJc w:val="left"/>
      <w:pPr>
        <w:ind w:left="360" w:hanging="360"/>
      </w:pPr>
      <w:rPr>
        <w:rFonts w:ascii="Arial" w:eastAsia="SimSun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1201EA5"/>
    <w:multiLevelType w:val="hybridMultilevel"/>
    <w:tmpl w:val="CF7C7084"/>
    <w:lvl w:ilvl="0" w:tplc="96A843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0F7AC2"/>
    <w:multiLevelType w:val="hybridMultilevel"/>
    <w:tmpl w:val="8E6081BA"/>
    <w:lvl w:ilvl="0" w:tplc="357A0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880A28"/>
    <w:multiLevelType w:val="multilevel"/>
    <w:tmpl w:val="634E2606"/>
    <w:name w:val="numbered list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666045D"/>
    <w:multiLevelType w:val="multilevel"/>
    <w:tmpl w:val="04323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01436"/>
    <w:multiLevelType w:val="hybridMultilevel"/>
    <w:tmpl w:val="0268CCE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0C7"/>
    <w:rsid w:val="00040FDC"/>
    <w:rsid w:val="000548A0"/>
    <w:rsid w:val="000743E7"/>
    <w:rsid w:val="0007508A"/>
    <w:rsid w:val="000A2A89"/>
    <w:rsid w:val="000B5E4E"/>
    <w:rsid w:val="000B77CF"/>
    <w:rsid w:val="001449CA"/>
    <w:rsid w:val="001458E0"/>
    <w:rsid w:val="001570E7"/>
    <w:rsid w:val="00196517"/>
    <w:rsid w:val="001D09A1"/>
    <w:rsid w:val="001E00E2"/>
    <w:rsid w:val="001E1FA7"/>
    <w:rsid w:val="001F0882"/>
    <w:rsid w:val="0020737E"/>
    <w:rsid w:val="00207E79"/>
    <w:rsid w:val="002210C9"/>
    <w:rsid w:val="00226B46"/>
    <w:rsid w:val="00227BD9"/>
    <w:rsid w:val="002653D4"/>
    <w:rsid w:val="00267FC6"/>
    <w:rsid w:val="002747F0"/>
    <w:rsid w:val="002B7ECD"/>
    <w:rsid w:val="002E3C8D"/>
    <w:rsid w:val="00300A7E"/>
    <w:rsid w:val="00306FE3"/>
    <w:rsid w:val="00342442"/>
    <w:rsid w:val="0034323B"/>
    <w:rsid w:val="0037735C"/>
    <w:rsid w:val="003844E5"/>
    <w:rsid w:val="0039539C"/>
    <w:rsid w:val="003B697D"/>
    <w:rsid w:val="003C6474"/>
    <w:rsid w:val="003C684A"/>
    <w:rsid w:val="003D2385"/>
    <w:rsid w:val="003E4D15"/>
    <w:rsid w:val="00402C55"/>
    <w:rsid w:val="00461A4C"/>
    <w:rsid w:val="00462EF0"/>
    <w:rsid w:val="00465041"/>
    <w:rsid w:val="004817F2"/>
    <w:rsid w:val="00483BBB"/>
    <w:rsid w:val="004844A2"/>
    <w:rsid w:val="00485770"/>
    <w:rsid w:val="004A73DE"/>
    <w:rsid w:val="004D395A"/>
    <w:rsid w:val="004D7AA0"/>
    <w:rsid w:val="004E001F"/>
    <w:rsid w:val="004F6BF8"/>
    <w:rsid w:val="00504406"/>
    <w:rsid w:val="00547056"/>
    <w:rsid w:val="005636A1"/>
    <w:rsid w:val="005718B8"/>
    <w:rsid w:val="00573201"/>
    <w:rsid w:val="00577F68"/>
    <w:rsid w:val="005931E5"/>
    <w:rsid w:val="005B03A3"/>
    <w:rsid w:val="005B7E17"/>
    <w:rsid w:val="00613FFB"/>
    <w:rsid w:val="00627E36"/>
    <w:rsid w:val="00656110"/>
    <w:rsid w:val="00671226"/>
    <w:rsid w:val="006743E7"/>
    <w:rsid w:val="006807D0"/>
    <w:rsid w:val="00681ED7"/>
    <w:rsid w:val="00690A33"/>
    <w:rsid w:val="006B3CCA"/>
    <w:rsid w:val="006D4337"/>
    <w:rsid w:val="006F7964"/>
    <w:rsid w:val="00714252"/>
    <w:rsid w:val="0072595F"/>
    <w:rsid w:val="0074346F"/>
    <w:rsid w:val="00745DCF"/>
    <w:rsid w:val="00746391"/>
    <w:rsid w:val="007F2B83"/>
    <w:rsid w:val="008068D5"/>
    <w:rsid w:val="008162E3"/>
    <w:rsid w:val="00825EEB"/>
    <w:rsid w:val="008271B1"/>
    <w:rsid w:val="008337EB"/>
    <w:rsid w:val="00847681"/>
    <w:rsid w:val="008618B1"/>
    <w:rsid w:val="008A7E9C"/>
    <w:rsid w:val="00913BED"/>
    <w:rsid w:val="00914E7B"/>
    <w:rsid w:val="009205B9"/>
    <w:rsid w:val="00927F82"/>
    <w:rsid w:val="0094752F"/>
    <w:rsid w:val="00962F66"/>
    <w:rsid w:val="00971B9B"/>
    <w:rsid w:val="00977E6B"/>
    <w:rsid w:val="009D3D5F"/>
    <w:rsid w:val="009E1B0F"/>
    <w:rsid w:val="00A100C7"/>
    <w:rsid w:val="00A1658E"/>
    <w:rsid w:val="00A32227"/>
    <w:rsid w:val="00A70ABD"/>
    <w:rsid w:val="00A80C08"/>
    <w:rsid w:val="00AB1843"/>
    <w:rsid w:val="00AB4048"/>
    <w:rsid w:val="00AB738C"/>
    <w:rsid w:val="00AE1077"/>
    <w:rsid w:val="00B061D5"/>
    <w:rsid w:val="00B06995"/>
    <w:rsid w:val="00B275D1"/>
    <w:rsid w:val="00B30A34"/>
    <w:rsid w:val="00B61E62"/>
    <w:rsid w:val="00B72D3D"/>
    <w:rsid w:val="00BA26E9"/>
    <w:rsid w:val="00BA4D31"/>
    <w:rsid w:val="00BD0304"/>
    <w:rsid w:val="00BD4BE8"/>
    <w:rsid w:val="00BE5714"/>
    <w:rsid w:val="00C04A20"/>
    <w:rsid w:val="00C26564"/>
    <w:rsid w:val="00C4282D"/>
    <w:rsid w:val="00C63626"/>
    <w:rsid w:val="00C7358A"/>
    <w:rsid w:val="00C84C69"/>
    <w:rsid w:val="00C92415"/>
    <w:rsid w:val="00C97883"/>
    <w:rsid w:val="00CA3588"/>
    <w:rsid w:val="00CF11BD"/>
    <w:rsid w:val="00D27CA2"/>
    <w:rsid w:val="00D4508E"/>
    <w:rsid w:val="00D71447"/>
    <w:rsid w:val="00D75A21"/>
    <w:rsid w:val="00DD118B"/>
    <w:rsid w:val="00DF1225"/>
    <w:rsid w:val="00DF5BE2"/>
    <w:rsid w:val="00DF6B01"/>
    <w:rsid w:val="00E040A9"/>
    <w:rsid w:val="00E07C27"/>
    <w:rsid w:val="00E27065"/>
    <w:rsid w:val="00E30BEB"/>
    <w:rsid w:val="00E35550"/>
    <w:rsid w:val="00E40D63"/>
    <w:rsid w:val="00E47ED8"/>
    <w:rsid w:val="00E50C27"/>
    <w:rsid w:val="00E72CA0"/>
    <w:rsid w:val="00E87831"/>
    <w:rsid w:val="00E947FF"/>
    <w:rsid w:val="00EB24BD"/>
    <w:rsid w:val="00EB61A0"/>
    <w:rsid w:val="00EC795E"/>
    <w:rsid w:val="00EC79AB"/>
    <w:rsid w:val="00ED0047"/>
    <w:rsid w:val="00EE728C"/>
    <w:rsid w:val="00EF522F"/>
    <w:rsid w:val="00F0325F"/>
    <w:rsid w:val="00F2692C"/>
    <w:rsid w:val="00F341B3"/>
    <w:rsid w:val="00F52B5D"/>
    <w:rsid w:val="00F61E64"/>
    <w:rsid w:val="00F64E40"/>
    <w:rsid w:val="00F82257"/>
    <w:rsid w:val="00FA3D64"/>
    <w:rsid w:val="00FB6C56"/>
    <w:rsid w:val="00FD390A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A75527F"/>
  <w15:chartTrackingRefBased/>
  <w15:docId w15:val="{036ED718-5D78-490D-9122-BB992A35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E36"/>
    <w:pPr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4538"/>
        <w:tab w:val="left" w:pos="5105"/>
        <w:tab w:val="left" w:pos="5955"/>
        <w:tab w:val="left" w:pos="6806"/>
        <w:tab w:val="left" w:pos="7657"/>
        <w:tab w:val="left" w:pos="8508"/>
      </w:tabs>
      <w:suppressAutoHyphens/>
      <w:overflowPunct w:val="0"/>
      <w:autoSpaceDE w:val="0"/>
      <w:autoSpaceDN w:val="0"/>
      <w:adjustRightInd w:val="0"/>
      <w:spacing w:line="216" w:lineRule="auto"/>
      <w:jc w:val="both"/>
      <w:textAlignment w:val="baseline"/>
    </w:pPr>
    <w:rPr>
      <w:rFonts w:ascii="Arial" w:hAnsi="Arial"/>
      <w:sz w:val="22"/>
      <w:lang w:val="en-GB" w:eastAsia="da-DK"/>
    </w:rPr>
  </w:style>
  <w:style w:type="paragraph" w:styleId="Heading1">
    <w:name w:val="heading 1"/>
    <w:basedOn w:val="Normal"/>
    <w:qFormat/>
    <w:pPr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</w:tabs>
      <w:suppressAutoHyphens w:val="0"/>
      <w:spacing w:before="240" w:after="60" w:line="200" w:lineRule="atLeast"/>
      <w:jc w:val="left"/>
      <w:outlineLvl w:val="0"/>
    </w:pPr>
    <w:rPr>
      <w:rFonts w:ascii="Times New Roman" w:hAnsi="Times New Roman"/>
      <w:b/>
      <w:color w:val="000000"/>
      <w:sz w:val="28"/>
      <w:lang w:val="da-DK" w:eastAsia="en-US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cs="Arial"/>
      <w:b/>
      <w:bCs/>
      <w:sz w:val="20"/>
      <w:lang w:eastAsia="en-US"/>
    </w:rPr>
  </w:style>
  <w:style w:type="paragraph" w:styleId="Heading3">
    <w:name w:val="heading 3"/>
    <w:basedOn w:val="Heading1"/>
    <w:next w:val="Normal"/>
    <w:qFormat/>
    <w:pPr>
      <w:tabs>
        <w:tab w:val="left" w:pos="567"/>
      </w:tabs>
      <w:suppressAutoHyphens/>
      <w:overflowPunct/>
      <w:autoSpaceDE/>
      <w:autoSpaceDN/>
      <w:adjustRightInd/>
      <w:spacing w:before="120" w:after="0" w:line="240" w:lineRule="auto"/>
      <w:textAlignment w:val="auto"/>
      <w:outlineLvl w:val="2"/>
    </w:pPr>
    <w:rPr>
      <w:rFonts w:ascii="Arial" w:hAnsi="Arial"/>
      <w:color w:val="auto"/>
      <w:sz w:val="22"/>
      <w:lang w:val="en-GB"/>
    </w:rPr>
  </w:style>
  <w:style w:type="paragraph" w:styleId="Heading4">
    <w:name w:val="heading 4"/>
    <w:basedOn w:val="Normal"/>
    <w:next w:val="Normal"/>
    <w:qFormat/>
    <w:pPr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  <w:tab w:val="left" w:pos="1134"/>
      </w:tabs>
      <w:overflowPunct/>
      <w:autoSpaceDE/>
      <w:autoSpaceDN/>
      <w:adjustRightInd/>
      <w:spacing w:before="120" w:line="240" w:lineRule="auto"/>
      <w:jc w:val="left"/>
      <w:textAlignment w:val="auto"/>
      <w:outlineLvl w:val="3"/>
    </w:pPr>
    <w:rPr>
      <w:b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7">
    <w:name w:val="heading 7"/>
    <w:basedOn w:val="Normal"/>
    <w:next w:val="Normal"/>
    <w:qFormat/>
    <w:pPr>
      <w:keepNext/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</w:tabs>
      <w:overflowPunct/>
      <w:autoSpaceDE/>
      <w:autoSpaceDN/>
      <w:adjustRightInd/>
      <w:spacing w:before="60" w:after="60" w:line="240" w:lineRule="auto"/>
      <w:ind w:right="1"/>
      <w:jc w:val="center"/>
      <w:textAlignment w:val="auto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</w:tabs>
      <w:overflowPunct/>
      <w:autoSpaceDE/>
      <w:autoSpaceDN/>
      <w:adjustRightInd/>
      <w:spacing w:before="120" w:line="240" w:lineRule="auto"/>
      <w:ind w:right="1"/>
      <w:jc w:val="right"/>
      <w:textAlignment w:val="auto"/>
      <w:outlineLvl w:val="7"/>
    </w:pPr>
  </w:style>
  <w:style w:type="paragraph" w:styleId="Heading9">
    <w:name w:val="heading 9"/>
    <w:basedOn w:val="Heading5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NewRoman13">
    <w:name w:val="TimesNewRoman13"/>
    <w:basedOn w:val="Normal"/>
    <w:next w:val="Normal"/>
    <w:rPr>
      <w:b/>
      <w:sz w:val="26"/>
    </w:rPr>
  </w:style>
  <w:style w:type="character" w:customStyle="1" w:styleId="Arial13">
    <w:name w:val="Arial13"/>
    <w:rPr>
      <w:rFonts w:ascii="Arial" w:hAnsi="Arial"/>
      <w:b/>
      <w:sz w:val="26"/>
    </w:rPr>
  </w:style>
  <w:style w:type="paragraph" w:styleId="Header">
    <w:name w:val="header"/>
    <w:aliases w:val="Sidehoved1"/>
    <w:basedOn w:val="Normal"/>
    <w:next w:val="Normal"/>
    <w:pPr>
      <w:tabs>
        <w:tab w:val="center" w:pos="4819"/>
        <w:tab w:val="right" w:pos="9638"/>
      </w:tabs>
      <w:jc w:val="left"/>
    </w:pPr>
    <w:rPr>
      <w:lang w:val="da-DK"/>
    </w:rPr>
  </w:style>
  <w:style w:type="character" w:styleId="PageNumber">
    <w:name w:val="page number"/>
    <w:rPr>
      <w:rFonts w:ascii="Arial" w:hAnsi="Arial"/>
      <w:sz w:val="20"/>
    </w:rPr>
  </w:style>
  <w:style w:type="character" w:customStyle="1" w:styleId="Arial11">
    <w:name w:val="Arial11"/>
    <w:rPr>
      <w:rFonts w:ascii="Arial" w:hAnsi="Arial"/>
      <w:b/>
      <w:sz w:val="22"/>
    </w:rPr>
  </w:style>
  <w:style w:type="paragraph" w:customStyle="1" w:styleId="Over1">
    <w:name w:val="Over 1"/>
    <w:basedOn w:val="Normal"/>
    <w:next w:val="Normal"/>
    <w:rPr>
      <w:b/>
      <w:sz w:val="26"/>
    </w:rPr>
  </w:style>
  <w:style w:type="paragraph" w:customStyle="1" w:styleId="Over2">
    <w:name w:val="Over 2"/>
    <w:basedOn w:val="Normal"/>
    <w:next w:val="Normal"/>
    <w:rPr>
      <w:b/>
      <w:sz w:val="26"/>
    </w:rPr>
  </w:style>
  <w:style w:type="paragraph" w:customStyle="1" w:styleId="Arialunder">
    <w:name w:val="Arial under"/>
    <w:basedOn w:val="Normal"/>
    <w:next w:val="Normal"/>
    <w:rPr>
      <w:b/>
      <w:sz w:val="24"/>
    </w:rPr>
  </w:style>
  <w:style w:type="paragraph" w:customStyle="1" w:styleId="Arial110">
    <w:name w:val="Arial 11"/>
    <w:basedOn w:val="Normal"/>
    <w:next w:val="Normal"/>
    <w:rPr>
      <w:b/>
    </w:rPr>
  </w:style>
  <w:style w:type="paragraph" w:customStyle="1" w:styleId="Arial15">
    <w:name w:val="Arial 15"/>
    <w:basedOn w:val="Normal"/>
    <w:next w:val="Normal"/>
    <w:rPr>
      <w:b/>
      <w:sz w:val="30"/>
    </w:rPr>
  </w:style>
  <w:style w:type="paragraph" w:customStyle="1" w:styleId="fed">
    <w:name w:val="fed"/>
    <w:basedOn w:val="Normal"/>
    <w:next w:val="Normal"/>
    <w:rPr>
      <w:b/>
    </w:rPr>
  </w:style>
  <w:style w:type="paragraph" w:styleId="Footer">
    <w:name w:val="footer"/>
    <w:basedOn w:val="Normal"/>
    <w:pPr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  <w:tab w:val="center" w:pos="4819"/>
        <w:tab w:val="right" w:pos="9638"/>
      </w:tabs>
    </w:pPr>
  </w:style>
  <w:style w:type="paragraph" w:styleId="BodyText">
    <w:name w:val="Body Text"/>
    <w:basedOn w:val="Normal"/>
    <w:pPr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</w:tabs>
      <w:suppressAutoHyphens w:val="0"/>
      <w:spacing w:line="240" w:lineRule="auto"/>
      <w:jc w:val="left"/>
    </w:pPr>
    <w:rPr>
      <w:sz w:val="20"/>
      <w:lang w:val="da-DK"/>
    </w:rPr>
  </w:style>
  <w:style w:type="paragraph" w:styleId="BodyText2">
    <w:name w:val="Body Text 2"/>
    <w:basedOn w:val="Normal"/>
    <w:pPr>
      <w:keepNext/>
      <w:keepLines/>
      <w:spacing w:line="240" w:lineRule="auto"/>
    </w:pPr>
    <w:rPr>
      <w:sz w:val="21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semiHidden/>
    <w:pPr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</w:tabs>
      <w:overflowPunct/>
      <w:autoSpaceDE/>
      <w:autoSpaceDN/>
      <w:adjustRightInd/>
      <w:spacing w:before="120" w:line="240" w:lineRule="auto"/>
      <w:jc w:val="left"/>
      <w:textAlignment w:val="auto"/>
    </w:pPr>
    <w:rPr>
      <w:sz w:val="20"/>
    </w:rPr>
  </w:style>
  <w:style w:type="paragraph" w:customStyle="1" w:styleId="a2">
    <w:name w:val="a2"/>
    <w:basedOn w:val="Heading2"/>
    <w:next w:val="Normal"/>
    <w:pPr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  <w:tab w:val="left" w:pos="500"/>
        <w:tab w:val="left" w:pos="720"/>
      </w:tabs>
      <w:overflowPunct/>
      <w:autoSpaceDE/>
      <w:autoSpaceDN/>
      <w:adjustRightInd/>
      <w:spacing w:before="270" w:after="240" w:line="270" w:lineRule="exact"/>
      <w:textAlignment w:val="auto"/>
    </w:pPr>
    <w:rPr>
      <w:sz w:val="24"/>
    </w:rPr>
  </w:style>
  <w:style w:type="paragraph" w:customStyle="1" w:styleId="a3">
    <w:name w:val="a3"/>
    <w:basedOn w:val="Heading3"/>
    <w:next w:val="Normal"/>
    <w:pPr>
      <w:keepNext/>
      <w:tabs>
        <w:tab w:val="clear" w:pos="567"/>
        <w:tab w:val="left" w:pos="640"/>
        <w:tab w:val="left" w:pos="880"/>
      </w:tabs>
      <w:spacing w:before="60" w:after="240" w:line="250" w:lineRule="exact"/>
    </w:pPr>
  </w:style>
  <w:style w:type="paragraph" w:customStyle="1" w:styleId="TitretableauannexeH">
    <w:name w:val="Titre tableau annexe H"/>
    <w:basedOn w:val="Normal"/>
    <w:pPr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  <w:tab w:val="left" w:pos="426"/>
      </w:tabs>
      <w:overflowPunct/>
      <w:autoSpaceDE/>
      <w:autoSpaceDN/>
      <w:adjustRightInd/>
      <w:spacing w:before="120" w:after="170" w:line="240" w:lineRule="auto"/>
      <w:jc w:val="left"/>
      <w:textAlignment w:val="auto"/>
    </w:pPr>
    <w:rPr>
      <w:rFonts w:ascii="Swiss" w:hAnsi="Swiss"/>
      <w:b/>
      <w:sz w:val="20"/>
    </w:rPr>
  </w:style>
  <w:style w:type="paragraph" w:styleId="BodyText3">
    <w:name w:val="Body Text 3"/>
    <w:basedOn w:val="Normal"/>
    <w:pPr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</w:tabs>
      <w:suppressAutoHyphens w:val="0"/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imes New Roman" w:hAnsi="Times New Roman"/>
      <w:sz w:val="20"/>
      <w:lang w:val="en-US"/>
    </w:rPr>
  </w:style>
  <w:style w:type="paragraph" w:styleId="BodyTextIndent">
    <w:name w:val="Body Text Indent"/>
    <w:basedOn w:val="Normal"/>
    <w:pPr>
      <w:widowControl/>
      <w:tabs>
        <w:tab w:val="clear" w:pos="0"/>
        <w:tab w:val="clear" w:pos="851"/>
        <w:tab w:val="clear" w:pos="1701"/>
        <w:tab w:val="clear" w:pos="2552"/>
        <w:tab w:val="clear" w:pos="3403"/>
        <w:tab w:val="clear" w:pos="4254"/>
        <w:tab w:val="clear" w:pos="4538"/>
        <w:tab w:val="clear" w:pos="5105"/>
        <w:tab w:val="clear" w:pos="5955"/>
        <w:tab w:val="clear" w:pos="6806"/>
        <w:tab w:val="clear" w:pos="7657"/>
        <w:tab w:val="clear" w:pos="8508"/>
      </w:tabs>
      <w:suppressAutoHyphens w:val="0"/>
      <w:overflowPunct/>
      <w:autoSpaceDE/>
      <w:autoSpaceDN/>
      <w:adjustRightInd/>
      <w:spacing w:before="120" w:line="240" w:lineRule="auto"/>
      <w:jc w:val="center"/>
      <w:textAlignment w:val="auto"/>
    </w:pPr>
    <w:rPr>
      <w:color w:val="FF0000"/>
      <w:sz w:val="20"/>
      <w:lang w:val="en-US"/>
    </w:rPr>
  </w:style>
  <w:style w:type="character" w:customStyle="1" w:styleId="fontstyle01">
    <w:name w:val="fontstyle01"/>
    <w:rsid w:val="00F2692C"/>
    <w:rPr>
      <w:rFonts w:ascii="Cambria" w:hAnsi="Cambria" w:hint="default"/>
      <w:b w:val="0"/>
      <w:bCs w:val="0"/>
      <w:i w:val="0"/>
      <w:iCs w:val="0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ISO/TC 181	Safety of toys	ISO/TC 181 N 173</vt:lpstr>
      <vt:lpstr>ISO/TC 181	Safety of toys	ISO/TC 181 N 173</vt:lpstr>
    </vt:vector>
  </TitlesOfParts>
  <Company>DS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ISO/TC 181	Safety of toys	ISO/TC 181 N 173</dc:title>
  <dc:subject/>
  <dc:creator>Ida Grønborg</dc:creator>
  <cp:keywords/>
  <dc:description>...LEN udkast. 030115 LEN tilrettet iflg GC+AaH. 020116 rettet CD 60335 til CDV. 030120 rettet iflg Peter</dc:description>
  <cp:lastModifiedBy>Kaufman, Alan</cp:lastModifiedBy>
  <cp:revision>4</cp:revision>
  <cp:lastPrinted>2005-11-15T16:08:00Z</cp:lastPrinted>
  <dcterms:created xsi:type="dcterms:W3CDTF">2021-07-08T08:14:00Z</dcterms:created>
  <dcterms:modified xsi:type="dcterms:W3CDTF">2021-07-09T04:55:00Z</dcterms:modified>
</cp:coreProperties>
</file>