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ABFBB" w14:textId="77777777" w:rsidR="00E06BB8" w:rsidRPr="003050A8" w:rsidRDefault="00E06BB8" w:rsidP="00F67E96">
      <w:pPr>
        <w:rPr>
          <w:rFonts w:ascii="Arial" w:hAnsi="Arial" w:cs="Arial"/>
        </w:rPr>
      </w:pPr>
    </w:p>
    <w:p w14:paraId="54EA3908" w14:textId="77777777" w:rsidR="00F67E96" w:rsidRDefault="00F67E96" w:rsidP="00F67E96">
      <w:pPr>
        <w:rPr>
          <w:rFonts w:ascii="Arial" w:hAnsi="Arial" w:cs="Arial"/>
        </w:rPr>
      </w:pPr>
    </w:p>
    <w:p w14:paraId="275C7F1C" w14:textId="07A17162" w:rsidR="00184373" w:rsidRDefault="00184373" w:rsidP="00415840">
      <w:pPr>
        <w:rPr>
          <w:rFonts w:cstheme="minorHAnsi"/>
          <w:b/>
          <w:sz w:val="40"/>
          <w:szCs w:val="40"/>
        </w:rPr>
      </w:pPr>
    </w:p>
    <w:p w14:paraId="22851E61" w14:textId="0D8CB8D6" w:rsidR="00A63FED" w:rsidRDefault="009D01DB" w:rsidP="00A63FED">
      <w:pPr>
        <w:jc w:val="center"/>
        <w:rPr>
          <w:rFonts w:cstheme="minorHAnsi"/>
          <w:b/>
          <w:sz w:val="40"/>
          <w:szCs w:val="40"/>
        </w:rPr>
      </w:pPr>
      <w:r>
        <w:rPr>
          <w:rFonts w:cstheme="minorHAnsi"/>
          <w:b/>
          <w:sz w:val="40"/>
          <w:szCs w:val="40"/>
        </w:rPr>
        <w:t>S-564 Vejledning</w:t>
      </w:r>
    </w:p>
    <w:p w14:paraId="0A7628FE" w14:textId="77777777" w:rsidR="005D4C22" w:rsidRDefault="005D4C22" w:rsidP="005D4C22">
      <w:pPr>
        <w:rPr>
          <w:rFonts w:ascii="Arial" w:hAnsi="Arial" w:cs="Arial"/>
        </w:rPr>
      </w:pPr>
      <w:r>
        <w:rPr>
          <w:rFonts w:ascii="Arial" w:hAnsi="Arial" w:cs="Arial"/>
        </w:rPr>
        <w:t>Et udvalgs vejledning er en udfoldelse eller en præcisering</w:t>
      </w:r>
      <w:r w:rsidRPr="00A63FED">
        <w:rPr>
          <w:rFonts w:ascii="Arial" w:hAnsi="Arial" w:cs="Arial"/>
        </w:rPr>
        <w:t xml:space="preserve"> af, hvordan standardens krav kan opfyldes. F</w:t>
      </w:r>
      <w:r>
        <w:rPr>
          <w:rFonts w:ascii="Arial" w:hAnsi="Arial" w:cs="Arial"/>
        </w:rPr>
        <w:t>ølges en sådan vejledning,</w:t>
      </w:r>
      <w:r w:rsidRPr="00A63FED">
        <w:rPr>
          <w:rFonts w:ascii="Arial" w:hAnsi="Arial" w:cs="Arial"/>
        </w:rPr>
        <w:t xml:space="preserve"> anser udvalget sikkerhedsniveauet for opfyldt. </w:t>
      </w:r>
      <w:r>
        <w:rPr>
          <w:rFonts w:ascii="Arial" w:hAnsi="Arial" w:cs="Arial"/>
        </w:rPr>
        <w:t>Udvalgets vejledning</w:t>
      </w:r>
      <w:r w:rsidRPr="00A63FED">
        <w:rPr>
          <w:rFonts w:ascii="Arial" w:hAnsi="Arial" w:cs="Arial"/>
        </w:rPr>
        <w:t xml:space="preserve"> vil altid være tydeligt adskilt fra standardens tekst og endvidere dateret. </w:t>
      </w:r>
      <w:r>
        <w:rPr>
          <w:rFonts w:ascii="Arial" w:hAnsi="Arial" w:cs="Arial"/>
        </w:rPr>
        <w:t>En vejledning</w:t>
      </w:r>
      <w:r w:rsidRPr="00A63FED">
        <w:rPr>
          <w:rFonts w:ascii="Arial" w:hAnsi="Arial" w:cs="Arial"/>
        </w:rPr>
        <w:t xml:space="preserve"> gives altid til en dateret udgave af standarden og med reference til punktnummereringen. Udvalget</w:t>
      </w:r>
      <w:r>
        <w:rPr>
          <w:rFonts w:ascii="Arial" w:hAnsi="Arial" w:cs="Arial"/>
        </w:rPr>
        <w:t xml:space="preserve"> gemmer vejledningen</w:t>
      </w:r>
      <w:r w:rsidRPr="00A63FED">
        <w:rPr>
          <w:rFonts w:ascii="Arial" w:hAnsi="Arial" w:cs="Arial"/>
        </w:rPr>
        <w:t xml:space="preserve"> som et forbedrende input til fremtidig revision af den pågældende standard.</w:t>
      </w:r>
    </w:p>
    <w:p w14:paraId="67EB3478" w14:textId="2194592D" w:rsidR="00A63FED" w:rsidRDefault="005908AF" w:rsidP="00A63FED">
      <w:pPr>
        <w:rPr>
          <w:rFonts w:ascii="Arial" w:hAnsi="Arial" w:cs="Arial"/>
          <w:sz w:val="20"/>
          <w:szCs w:val="20"/>
        </w:rPr>
      </w:pPr>
      <w:r>
        <w:rPr>
          <w:rFonts w:ascii="Arial" w:hAnsi="Arial" w:cs="Arial"/>
          <w:sz w:val="20"/>
          <w:szCs w:val="20"/>
        </w:rPr>
        <w:pict w14:anchorId="532DD4FC">
          <v:rect id="_x0000_i1040" style="width:0;height:1.5pt" o:hralign="center" o:hrstd="t" o:hr="t" fillcolor="#a0a0a0" stroked="f"/>
        </w:pict>
      </w:r>
    </w:p>
    <w:p w14:paraId="223A027A" w14:textId="77777777" w:rsidR="00690832" w:rsidRDefault="00690832" w:rsidP="00A63FED">
      <w:pPr>
        <w:rPr>
          <w:rFonts w:ascii="Arial" w:hAnsi="Arial" w:cs="Arial"/>
          <w:sz w:val="20"/>
          <w:szCs w:val="20"/>
        </w:rPr>
      </w:pPr>
    </w:p>
    <w:p w14:paraId="4548D981" w14:textId="5CE595C8" w:rsidR="006037CA" w:rsidRDefault="00D9238F" w:rsidP="00A63FED">
      <w:pPr>
        <w:rPr>
          <w:rFonts w:ascii="Arial" w:hAnsi="Arial" w:cs="Arial"/>
          <w:b/>
        </w:rPr>
      </w:pPr>
      <w:r w:rsidRPr="00D9238F">
        <w:rPr>
          <w:rFonts w:ascii="Arial" w:hAnsi="Arial" w:cs="Arial"/>
          <w:b/>
        </w:rPr>
        <w:t>DS/HD 60364-4-41:2017+A11:2017 (SIK)</w:t>
      </w:r>
      <w:r>
        <w:rPr>
          <w:rFonts w:ascii="Arial" w:hAnsi="Arial" w:cs="Arial"/>
          <w:b/>
        </w:rPr>
        <w:tab/>
      </w:r>
      <w:r>
        <w:rPr>
          <w:rFonts w:ascii="Arial" w:hAnsi="Arial" w:cs="Arial"/>
          <w:b/>
        </w:rPr>
        <w:tab/>
        <w:t>20</w:t>
      </w:r>
      <w:r w:rsidR="0090176E">
        <w:rPr>
          <w:rFonts w:ascii="Arial" w:hAnsi="Arial" w:cs="Arial"/>
          <w:b/>
        </w:rPr>
        <w:t>20</w:t>
      </w:r>
      <w:r>
        <w:rPr>
          <w:rFonts w:ascii="Arial" w:hAnsi="Arial" w:cs="Arial"/>
          <w:b/>
        </w:rPr>
        <w:t>-0</w:t>
      </w:r>
      <w:r w:rsidR="0090176E">
        <w:rPr>
          <w:rFonts w:ascii="Arial" w:hAnsi="Arial" w:cs="Arial"/>
          <w:b/>
        </w:rPr>
        <w:t>3</w:t>
      </w:r>
      <w:r>
        <w:rPr>
          <w:rFonts w:ascii="Arial" w:hAnsi="Arial" w:cs="Arial"/>
          <w:b/>
        </w:rPr>
        <w:t>-</w:t>
      </w:r>
      <w:r w:rsidR="0090176E">
        <w:rPr>
          <w:rFonts w:ascii="Arial" w:hAnsi="Arial" w:cs="Arial"/>
          <w:b/>
        </w:rPr>
        <w:t>02</w:t>
      </w:r>
    </w:p>
    <w:p w14:paraId="0B0E56ED" w14:textId="7230BD5F" w:rsidR="005D4C22" w:rsidRDefault="005D4C22" w:rsidP="00A63FED">
      <w:pPr>
        <w:rPr>
          <w:rFonts w:ascii="Arial" w:hAnsi="Arial" w:cs="Arial"/>
          <w:b/>
        </w:rPr>
      </w:pPr>
      <w:r>
        <w:rPr>
          <w:rFonts w:ascii="Arial" w:hAnsi="Arial" w:cs="Arial"/>
          <w:b/>
        </w:rPr>
        <w:t>Beskyttende potentialudligning</w:t>
      </w:r>
      <w:r w:rsidR="008A3A66">
        <w:rPr>
          <w:rFonts w:ascii="Arial" w:hAnsi="Arial" w:cs="Arial"/>
          <w:b/>
        </w:rPr>
        <w:t xml:space="preserve"> Pkt. 411.3.1.2</w:t>
      </w:r>
    </w:p>
    <w:p w14:paraId="15BDC753" w14:textId="364191F3" w:rsidR="00A63FED" w:rsidRPr="00690832" w:rsidRDefault="005E36E0" w:rsidP="00A63FED">
      <w:pPr>
        <w:rPr>
          <w:rFonts w:ascii="Arial" w:hAnsi="Arial" w:cs="Arial"/>
          <w:bCs/>
        </w:rPr>
      </w:pPr>
      <w:r w:rsidRPr="005E36E0">
        <w:rPr>
          <w:rFonts w:ascii="Arial" w:hAnsi="Arial" w:cs="Arial"/>
          <w:bCs/>
        </w:rPr>
        <w:t xml:space="preserve">Hermed </w:t>
      </w:r>
      <w:r>
        <w:rPr>
          <w:rFonts w:ascii="Arial" w:hAnsi="Arial" w:cs="Arial"/>
          <w:bCs/>
        </w:rPr>
        <w:t xml:space="preserve">udvalgets vurdering af </w:t>
      </w:r>
      <w:r w:rsidRPr="00A63FED">
        <w:rPr>
          <w:rFonts w:ascii="Arial" w:hAnsi="Arial" w:cs="Arial"/>
        </w:rPr>
        <w:t>”farligt potentiale i bygningskonstruktionen”</w:t>
      </w:r>
      <w:r>
        <w:rPr>
          <w:rFonts w:ascii="Arial" w:hAnsi="Arial" w:cs="Arial"/>
        </w:rPr>
        <w:t xml:space="preserve"> og ”t</w:t>
      </w:r>
      <w:r w:rsidRPr="00A63FED">
        <w:rPr>
          <w:rFonts w:ascii="Arial" w:hAnsi="Arial" w:cs="Arial"/>
        </w:rPr>
        <w:t>ilgængelig armering i armeret konstruktionsbeton</w:t>
      </w:r>
      <w:r>
        <w:rPr>
          <w:rFonts w:ascii="Arial" w:hAnsi="Arial" w:cs="Arial"/>
        </w:rPr>
        <w:t>”</w:t>
      </w:r>
    </w:p>
    <w:p w14:paraId="2C9470CD" w14:textId="77777777" w:rsidR="00A63FED" w:rsidRPr="00A63FED" w:rsidRDefault="00ED0A04" w:rsidP="00A63FED">
      <w:pPr>
        <w:rPr>
          <w:rFonts w:ascii="Arial" w:hAnsi="Arial" w:cs="Arial"/>
        </w:rPr>
      </w:pPr>
      <w:r>
        <w:rPr>
          <w:rFonts w:ascii="Arial" w:hAnsi="Arial" w:cs="Arial"/>
          <w:b/>
        </w:rPr>
        <w:t>Udvalgets vurd</w:t>
      </w:r>
      <w:r w:rsidR="001106F2">
        <w:rPr>
          <w:rFonts w:ascii="Arial" w:hAnsi="Arial" w:cs="Arial"/>
          <w:b/>
        </w:rPr>
        <w:t>ering</w:t>
      </w:r>
      <w:r w:rsidR="00A63FED" w:rsidRPr="00A63FED">
        <w:rPr>
          <w:rFonts w:ascii="Arial" w:hAnsi="Arial" w:cs="Arial"/>
          <w:b/>
        </w:rPr>
        <w:t>:</w:t>
      </w:r>
    </w:p>
    <w:p w14:paraId="55B84469" w14:textId="77777777" w:rsidR="00A63FED" w:rsidRPr="00A63FED" w:rsidRDefault="00A63FED" w:rsidP="00A63FED">
      <w:pPr>
        <w:pStyle w:val="Listeafsnit"/>
        <w:keepNext w:val="0"/>
        <w:keepLines w:val="0"/>
        <w:numPr>
          <w:ilvl w:val="0"/>
          <w:numId w:val="5"/>
        </w:numPr>
        <w:spacing w:after="160" w:line="259" w:lineRule="auto"/>
        <w:jc w:val="left"/>
        <w:rPr>
          <w:rFonts w:ascii="Arial" w:hAnsi="Arial" w:cs="Arial"/>
        </w:rPr>
      </w:pPr>
      <w:r w:rsidRPr="00A63FED">
        <w:rPr>
          <w:rFonts w:ascii="Arial" w:hAnsi="Arial" w:cs="Arial"/>
        </w:rPr>
        <w:t xml:space="preserve">Hvordan forstås ”farligt potentiale i bygningskonstruktionen”? </w:t>
      </w:r>
    </w:p>
    <w:p w14:paraId="1925451E" w14:textId="77777777" w:rsidR="0090176E" w:rsidRPr="0090176E" w:rsidRDefault="0090176E" w:rsidP="0090176E">
      <w:pPr>
        <w:pStyle w:val="Listeafsnit"/>
        <w:rPr>
          <w:rFonts w:ascii="Arial" w:hAnsi="Arial" w:cs="Arial"/>
        </w:rPr>
      </w:pPr>
      <w:r w:rsidRPr="0090176E">
        <w:rPr>
          <w:rFonts w:ascii="Arial" w:hAnsi="Arial" w:cs="Arial"/>
        </w:rPr>
        <w:t>Udvalget vurderer, at metallisk armerede betonkonstruktioner i eller under jordniveau kan forårsage en farlig potentialeforskel, og derfor skal de indgå i bygningens beskyttende potentialudligning.</w:t>
      </w:r>
    </w:p>
    <w:p w14:paraId="45D942A0" w14:textId="77777777" w:rsidR="0090176E" w:rsidRPr="0090176E" w:rsidRDefault="0090176E" w:rsidP="0090176E">
      <w:pPr>
        <w:pStyle w:val="Listeafsnit"/>
        <w:rPr>
          <w:rFonts w:ascii="Arial" w:hAnsi="Arial" w:cs="Arial"/>
        </w:rPr>
      </w:pPr>
      <w:r w:rsidRPr="0090176E">
        <w:rPr>
          <w:rFonts w:ascii="Arial" w:hAnsi="Arial" w:cs="Arial"/>
        </w:rPr>
        <w:t>Såfremt en bygningskonstruktion ikke forbindes til bygningens beskyttende potentialudligning, må den ikke kunne indføre en farlig potentialeforskel. Dette skal eftervises ved en risikovurdering og/eller ved måling.</w:t>
      </w:r>
    </w:p>
    <w:p w14:paraId="3ADDCCD7" w14:textId="77777777" w:rsidR="00A63FED" w:rsidRPr="00A63FED" w:rsidRDefault="0090176E" w:rsidP="0090176E">
      <w:pPr>
        <w:pStyle w:val="Listeafsnit"/>
        <w:rPr>
          <w:rFonts w:ascii="Arial" w:hAnsi="Arial" w:cs="Arial"/>
        </w:rPr>
      </w:pPr>
      <w:r w:rsidRPr="0090176E">
        <w:rPr>
          <w:rFonts w:ascii="Arial" w:hAnsi="Arial" w:cs="Arial"/>
        </w:rPr>
        <w:t>Eksempel til målingsmetode er anført i anneks B i DS/HD 60364-6:2016.</w:t>
      </w:r>
    </w:p>
    <w:p w14:paraId="6A083057" w14:textId="77777777" w:rsidR="00A63FED" w:rsidRPr="00A63FED" w:rsidRDefault="00A63FED" w:rsidP="00A63FED">
      <w:pPr>
        <w:pStyle w:val="Listeafsnit"/>
        <w:rPr>
          <w:rFonts w:ascii="Arial" w:hAnsi="Arial" w:cs="Arial"/>
        </w:rPr>
      </w:pPr>
    </w:p>
    <w:p w14:paraId="57336A72" w14:textId="77777777" w:rsidR="00A63FED" w:rsidRPr="00A63FED" w:rsidRDefault="00A63FED" w:rsidP="00A63FED">
      <w:pPr>
        <w:pStyle w:val="Listeafsnit"/>
        <w:keepNext w:val="0"/>
        <w:keepLines w:val="0"/>
        <w:numPr>
          <w:ilvl w:val="0"/>
          <w:numId w:val="5"/>
        </w:numPr>
        <w:spacing w:after="160" w:line="259" w:lineRule="auto"/>
        <w:jc w:val="left"/>
        <w:rPr>
          <w:rFonts w:ascii="Arial" w:hAnsi="Arial" w:cs="Arial"/>
        </w:rPr>
      </w:pPr>
      <w:r w:rsidRPr="00A63FED">
        <w:rPr>
          <w:rFonts w:ascii="Arial" w:hAnsi="Arial" w:cs="Arial"/>
        </w:rPr>
        <w:t>Tilgængelig armering i armeret konstruktionsbeton?</w:t>
      </w:r>
    </w:p>
    <w:p w14:paraId="6A878661" w14:textId="77777777" w:rsidR="0090176E" w:rsidRPr="0090176E" w:rsidRDefault="0090176E" w:rsidP="0090176E">
      <w:pPr>
        <w:rPr>
          <w:rFonts w:ascii="Arial" w:eastAsia="Times New Roman" w:hAnsi="Arial" w:cs="Arial"/>
          <w:kern w:val="22"/>
          <w:szCs w:val="20"/>
          <w:lang w:eastAsia="da-DK"/>
        </w:rPr>
      </w:pPr>
      <w:r w:rsidRPr="0090176E">
        <w:rPr>
          <w:rFonts w:ascii="Arial" w:eastAsia="Times New Roman" w:hAnsi="Arial" w:cs="Arial"/>
          <w:kern w:val="22"/>
          <w:szCs w:val="20"/>
          <w:lang w:eastAsia="da-DK"/>
        </w:rPr>
        <w:t>Ved støbninger på stedet (in situ) samt præfabrikerede betonelementer, som er i eller under jordniveau, betragtes armeringen som værende tilgængelig i byggefasen og dermed omfattet af kravet om beskyttende potentialudligning.</w:t>
      </w:r>
    </w:p>
    <w:p w14:paraId="6C3B37D0" w14:textId="77777777" w:rsidR="0090176E" w:rsidRPr="0090176E" w:rsidRDefault="0090176E" w:rsidP="0090176E">
      <w:pPr>
        <w:rPr>
          <w:rFonts w:ascii="Arial" w:eastAsia="Times New Roman" w:hAnsi="Arial" w:cs="Arial"/>
          <w:kern w:val="22"/>
          <w:szCs w:val="20"/>
          <w:lang w:eastAsia="da-DK"/>
        </w:rPr>
      </w:pPr>
      <w:r w:rsidRPr="0090176E">
        <w:rPr>
          <w:rFonts w:ascii="Arial" w:eastAsia="Times New Roman" w:hAnsi="Arial" w:cs="Arial"/>
          <w:kern w:val="22"/>
          <w:szCs w:val="20"/>
          <w:lang w:eastAsia="da-DK"/>
        </w:rPr>
        <w:t>Dette får i praksis den betydning, at in situ</w:t>
      </w:r>
      <w:r>
        <w:rPr>
          <w:rFonts w:ascii="Arial" w:eastAsia="Times New Roman" w:hAnsi="Arial" w:cs="Arial"/>
          <w:kern w:val="22"/>
          <w:szCs w:val="20"/>
          <w:lang w:eastAsia="da-DK"/>
        </w:rPr>
        <w:t xml:space="preserve"> </w:t>
      </w:r>
      <w:r w:rsidRPr="0090176E">
        <w:rPr>
          <w:rFonts w:ascii="Arial" w:eastAsia="Times New Roman" w:hAnsi="Arial" w:cs="Arial"/>
          <w:kern w:val="22"/>
          <w:szCs w:val="20"/>
          <w:lang w:eastAsia="da-DK"/>
        </w:rPr>
        <w:t>støbninger og præfabrikerede betonelementer til placering i eller under jordniveau, der kan indføre et farligt potentiale, skal udføres med indbyrdes forbundet metalarmering og mulighed for tilslutning af potentialudligningsforbindelse, fx ved en udsparing i elementet.</w:t>
      </w:r>
    </w:p>
    <w:p w14:paraId="36D91B14" w14:textId="229B7310" w:rsidR="00A63FED" w:rsidRDefault="0090176E" w:rsidP="0090176E">
      <w:pPr>
        <w:rPr>
          <w:rFonts w:ascii="Arial" w:eastAsia="Times New Roman" w:hAnsi="Arial" w:cs="Arial"/>
          <w:kern w:val="22"/>
          <w:szCs w:val="20"/>
          <w:lang w:eastAsia="da-DK"/>
        </w:rPr>
      </w:pPr>
      <w:r w:rsidRPr="0090176E">
        <w:rPr>
          <w:rFonts w:ascii="Arial" w:eastAsia="Times New Roman" w:hAnsi="Arial" w:cs="Arial"/>
          <w:kern w:val="22"/>
          <w:szCs w:val="20"/>
          <w:lang w:eastAsia="da-DK"/>
        </w:rPr>
        <w:t>Kravet i 411.3.1.2 medfører ikke, at armeringen skal gøres tilgængelig i fx præfabrikerede betonelementer, der ikke kan indføre et farligt potentiale.</w:t>
      </w:r>
    </w:p>
    <w:p w14:paraId="4099F964" w14:textId="08C0E7F2" w:rsidR="005D4C22" w:rsidRDefault="005D4C22" w:rsidP="0090176E">
      <w:pPr>
        <w:rPr>
          <w:rFonts w:ascii="Arial" w:eastAsia="Times New Roman" w:hAnsi="Arial" w:cs="Arial"/>
          <w:kern w:val="22"/>
          <w:szCs w:val="20"/>
          <w:lang w:eastAsia="da-DK"/>
        </w:rPr>
      </w:pPr>
    </w:p>
    <w:p w14:paraId="66056BAD" w14:textId="77777777" w:rsidR="005E36E0" w:rsidRPr="00A63FED" w:rsidRDefault="005E36E0" w:rsidP="005E36E0">
      <w:pPr>
        <w:rPr>
          <w:rFonts w:ascii="Arial" w:hAnsi="Arial" w:cs="Arial"/>
        </w:rPr>
      </w:pPr>
      <w:r>
        <w:rPr>
          <w:rFonts w:ascii="Arial" w:hAnsi="Arial" w:cs="Arial"/>
        </w:rPr>
        <w:t>Tekst gengivet fra standarder er angivet med</w:t>
      </w:r>
      <w:r w:rsidRPr="00D9238F">
        <w:rPr>
          <w:rFonts w:ascii="Arial" w:hAnsi="Arial" w:cs="Arial"/>
          <w:i/>
        </w:rPr>
        <w:t xml:space="preserve"> kursiv</w:t>
      </w:r>
      <w:r>
        <w:rPr>
          <w:rFonts w:ascii="Arial" w:hAnsi="Arial" w:cs="Arial"/>
        </w:rPr>
        <w:t>.</w:t>
      </w:r>
    </w:p>
    <w:p w14:paraId="7900B784" w14:textId="77777777" w:rsidR="005E36E0" w:rsidRPr="00A63FED" w:rsidRDefault="005E36E0" w:rsidP="005E36E0">
      <w:pPr>
        <w:rPr>
          <w:rFonts w:ascii="Arial" w:hAnsi="Arial" w:cs="Arial"/>
          <w:i/>
        </w:rPr>
      </w:pPr>
      <w:r w:rsidRPr="00A63FED">
        <w:rPr>
          <w:rFonts w:ascii="Arial" w:hAnsi="Arial" w:cs="Arial"/>
          <w:i/>
        </w:rPr>
        <w:t>Punkt: 411.3.1.2 Beskyttende potentialudligning</w:t>
      </w:r>
    </w:p>
    <w:p w14:paraId="2B8D43D5" w14:textId="77777777" w:rsidR="005E36E0" w:rsidRPr="00A63FED" w:rsidRDefault="005E36E0" w:rsidP="005E36E0">
      <w:pPr>
        <w:autoSpaceDE w:val="0"/>
        <w:autoSpaceDN w:val="0"/>
        <w:rPr>
          <w:rFonts w:ascii="Arial" w:hAnsi="Arial" w:cs="Arial"/>
          <w:i/>
        </w:rPr>
      </w:pPr>
      <w:r w:rsidRPr="00A63FED">
        <w:rPr>
          <w:rFonts w:ascii="Arial" w:hAnsi="Arial" w:cs="Arial"/>
          <w:i/>
        </w:rPr>
        <w:lastRenderedPageBreak/>
        <w:t>I hver bygning skal indgående metalliske dele, som kan forårsage en farlig potentialforskel, og som ikke udgør en del af den elektriske installation, være forbundet til hovedjordklemmen ved hjælp af ledere til beskyttende potentialudligning; eksempler på sådanne metalliske dele kan inkludere:</w:t>
      </w:r>
    </w:p>
    <w:p w14:paraId="6570060A" w14:textId="77777777" w:rsidR="005E36E0" w:rsidRPr="00A63FED" w:rsidRDefault="005E36E0" w:rsidP="005E36E0">
      <w:pPr>
        <w:autoSpaceDE w:val="0"/>
        <w:autoSpaceDN w:val="0"/>
        <w:rPr>
          <w:rFonts w:ascii="Arial" w:hAnsi="Arial" w:cs="Arial"/>
          <w:i/>
        </w:rPr>
      </w:pPr>
      <w:r w:rsidRPr="00A63FED">
        <w:rPr>
          <w:rFonts w:ascii="Arial" w:hAnsi="Arial" w:cs="Arial"/>
          <w:i/>
        </w:rPr>
        <w:t>• rør til forsyning inde i bygningen, fx gas, vand, fjernvarmeanlæg</w:t>
      </w:r>
    </w:p>
    <w:p w14:paraId="15A4884D" w14:textId="77777777" w:rsidR="005E36E0" w:rsidRPr="00A63FED" w:rsidRDefault="005E36E0" w:rsidP="005E36E0">
      <w:pPr>
        <w:autoSpaceDE w:val="0"/>
        <w:autoSpaceDN w:val="0"/>
        <w:rPr>
          <w:rFonts w:ascii="Arial" w:hAnsi="Arial" w:cs="Arial"/>
          <w:i/>
        </w:rPr>
      </w:pPr>
      <w:r w:rsidRPr="00A63FED">
        <w:rPr>
          <w:rFonts w:ascii="Arial" w:hAnsi="Arial" w:cs="Arial"/>
          <w:i/>
        </w:rPr>
        <w:t>• fremmede ledende dele i konstruktionen</w:t>
      </w:r>
    </w:p>
    <w:p w14:paraId="640D9D34" w14:textId="77777777" w:rsidR="005E36E0" w:rsidRPr="00A63FED" w:rsidRDefault="005E36E0" w:rsidP="005E36E0">
      <w:pPr>
        <w:autoSpaceDE w:val="0"/>
        <w:autoSpaceDN w:val="0"/>
        <w:rPr>
          <w:rFonts w:ascii="Arial" w:hAnsi="Arial" w:cs="Arial"/>
          <w:i/>
        </w:rPr>
      </w:pPr>
      <w:r w:rsidRPr="00A63FED">
        <w:rPr>
          <w:rFonts w:ascii="Arial" w:hAnsi="Arial" w:cs="Arial"/>
          <w:i/>
        </w:rPr>
        <w:t>• tilgængelig armering i armeret konstruktionsbeton.</w:t>
      </w:r>
    </w:p>
    <w:p w14:paraId="453CDB32" w14:textId="77777777" w:rsidR="005E36E0" w:rsidRPr="00A63FED" w:rsidRDefault="005E36E0" w:rsidP="005E36E0">
      <w:pPr>
        <w:autoSpaceDE w:val="0"/>
        <w:autoSpaceDN w:val="0"/>
        <w:rPr>
          <w:rFonts w:ascii="Arial" w:hAnsi="Arial" w:cs="Arial"/>
          <w:i/>
        </w:rPr>
      </w:pPr>
      <w:r w:rsidRPr="00A63FED">
        <w:rPr>
          <w:rFonts w:ascii="Arial" w:hAnsi="Arial" w:cs="Arial"/>
          <w:i/>
        </w:rPr>
        <w:t>Hvor sådanne ledende dele går ind i bygningen udefra, skal de forbindes til den beskyttende potentialudligning så tæt som praktisk muligt ved det sted, hvor de går ind i bygningen.</w:t>
      </w:r>
    </w:p>
    <w:p w14:paraId="4AB1D89E" w14:textId="77777777" w:rsidR="005E36E0" w:rsidRPr="00A63FED" w:rsidRDefault="005E36E0" w:rsidP="005E36E0">
      <w:pPr>
        <w:autoSpaceDE w:val="0"/>
        <w:autoSpaceDN w:val="0"/>
        <w:rPr>
          <w:rFonts w:ascii="Arial" w:hAnsi="Arial" w:cs="Arial"/>
          <w:i/>
        </w:rPr>
      </w:pPr>
      <w:r w:rsidRPr="00A63FED">
        <w:rPr>
          <w:rFonts w:ascii="Arial" w:hAnsi="Arial" w:cs="Arial"/>
          <w:i/>
        </w:rPr>
        <w:t>Metalrør, der løber ind i bygningen, og som har installeret en isolationsdel ved indløbet, behøver ikke være forbundet til beskyttende potentialudligning.</w:t>
      </w:r>
    </w:p>
    <w:p w14:paraId="6B8EF2CC" w14:textId="6BC5E3BD" w:rsidR="005E36E0" w:rsidRPr="00690832" w:rsidRDefault="005E36E0" w:rsidP="0090176E">
      <w:pPr>
        <w:rPr>
          <w:rFonts w:ascii="Arial" w:hAnsi="Arial" w:cs="Arial"/>
          <w:i/>
          <w:sz w:val="20"/>
          <w:szCs w:val="20"/>
        </w:rPr>
      </w:pPr>
      <w:r w:rsidRPr="00A63FED">
        <w:rPr>
          <w:rFonts w:ascii="Arial" w:hAnsi="Arial" w:cs="Arial"/>
          <w:i/>
        </w:rPr>
        <w:t>NOTE – Pkt. 542.4.1 i HD 60364-5-54:2011 indeholder andre forbindelser, der skal føres til hovedjordklemmen</w:t>
      </w:r>
      <w:r w:rsidRPr="00041685">
        <w:rPr>
          <w:rFonts w:ascii="Arial" w:hAnsi="Arial" w:cs="Arial"/>
          <w:i/>
          <w:sz w:val="20"/>
          <w:szCs w:val="20"/>
        </w:rPr>
        <w:t>.</w:t>
      </w:r>
    </w:p>
    <w:p w14:paraId="4096DA59" w14:textId="09CA5EB3" w:rsidR="005D4C22" w:rsidRDefault="005908AF" w:rsidP="0090176E">
      <w:pPr>
        <w:rPr>
          <w:rFonts w:ascii="Arial" w:eastAsia="Times New Roman" w:hAnsi="Arial" w:cs="Arial"/>
          <w:kern w:val="22"/>
          <w:szCs w:val="20"/>
          <w:lang w:eastAsia="da-DK"/>
        </w:rPr>
      </w:pPr>
      <w:r>
        <w:rPr>
          <w:rFonts w:ascii="Arial" w:hAnsi="Arial" w:cs="Arial"/>
          <w:sz w:val="20"/>
          <w:szCs w:val="20"/>
        </w:rPr>
        <w:pict w14:anchorId="6EB751CF">
          <v:rect id="_x0000_i1041" style="width:0;height:1.5pt" o:hralign="center" o:hrstd="t" o:hr="t" fillcolor="#a0a0a0" stroked="f"/>
        </w:pict>
      </w:r>
    </w:p>
    <w:p w14:paraId="11EC05BB" w14:textId="3B607735" w:rsidR="005D4C22" w:rsidRDefault="005D4C22" w:rsidP="0090176E">
      <w:pPr>
        <w:rPr>
          <w:rFonts w:ascii="Arial" w:eastAsia="Times New Roman" w:hAnsi="Arial" w:cs="Arial"/>
          <w:kern w:val="22"/>
          <w:szCs w:val="20"/>
          <w:lang w:eastAsia="da-DK"/>
        </w:rPr>
      </w:pPr>
    </w:p>
    <w:p w14:paraId="7ECA11B4" w14:textId="32F7C9AD" w:rsidR="005D4C22" w:rsidRDefault="005D4C22" w:rsidP="0090176E">
      <w:pPr>
        <w:rPr>
          <w:rFonts w:ascii="Arial" w:hAnsi="Arial" w:cs="Arial"/>
          <w:b/>
        </w:rPr>
      </w:pPr>
      <w:r>
        <w:rPr>
          <w:rFonts w:ascii="Arial" w:hAnsi="Arial" w:cs="Arial"/>
          <w:b/>
        </w:rPr>
        <w:t>DS/HD 60364-4-443:2016+Ret.1:2019 (SIK).</w:t>
      </w:r>
      <w:r>
        <w:rPr>
          <w:rFonts w:ascii="Arial" w:hAnsi="Arial" w:cs="Arial"/>
          <w:b/>
        </w:rPr>
        <w:tab/>
      </w:r>
      <w:r>
        <w:rPr>
          <w:rFonts w:ascii="Arial" w:hAnsi="Arial" w:cs="Arial"/>
          <w:b/>
        </w:rPr>
        <w:tab/>
      </w:r>
      <w:r w:rsidR="00BD1777">
        <w:rPr>
          <w:rFonts w:ascii="Arial" w:hAnsi="Arial" w:cs="Arial"/>
          <w:b/>
        </w:rPr>
        <w:tab/>
      </w:r>
      <w:r>
        <w:rPr>
          <w:rFonts w:ascii="Arial" w:hAnsi="Arial" w:cs="Arial"/>
          <w:b/>
        </w:rPr>
        <w:t>2020-03-</w:t>
      </w:r>
      <w:r w:rsidR="00B208F9">
        <w:rPr>
          <w:rFonts w:ascii="Arial" w:hAnsi="Arial" w:cs="Arial"/>
          <w:b/>
        </w:rPr>
        <w:t>11</w:t>
      </w:r>
    </w:p>
    <w:p w14:paraId="5083778C" w14:textId="6BA4F92B" w:rsidR="005D4C22" w:rsidRDefault="005D4C22" w:rsidP="0090176E">
      <w:pPr>
        <w:rPr>
          <w:rFonts w:ascii="Arial" w:hAnsi="Arial" w:cs="Arial"/>
          <w:b/>
        </w:rPr>
      </w:pPr>
      <w:r>
        <w:rPr>
          <w:rFonts w:ascii="Arial" w:hAnsi="Arial" w:cs="Arial"/>
          <w:b/>
        </w:rPr>
        <w:t>Regulering af overspænding</w:t>
      </w:r>
      <w:r w:rsidR="008A3A66">
        <w:rPr>
          <w:rFonts w:ascii="Arial" w:hAnsi="Arial" w:cs="Arial"/>
          <w:b/>
        </w:rPr>
        <w:t xml:space="preserve"> Pkt. 443.4</w:t>
      </w:r>
      <w:r w:rsidR="007355E7">
        <w:rPr>
          <w:rFonts w:ascii="Arial" w:hAnsi="Arial" w:cs="Arial"/>
          <w:b/>
        </w:rPr>
        <w:t xml:space="preserve"> (Ved </w:t>
      </w:r>
      <w:r w:rsidR="00032284">
        <w:rPr>
          <w:rFonts w:ascii="Arial" w:hAnsi="Arial" w:cs="Arial"/>
          <w:b/>
        </w:rPr>
        <w:t>udvidelse/ændring af eksisterende installation</w:t>
      </w:r>
      <w:r w:rsidR="00BD1777">
        <w:rPr>
          <w:rFonts w:ascii="Arial" w:hAnsi="Arial" w:cs="Arial"/>
          <w:b/>
        </w:rPr>
        <w:t>)</w:t>
      </w:r>
    </w:p>
    <w:p w14:paraId="36B914AD" w14:textId="58C869C7" w:rsidR="005E36E0" w:rsidRDefault="005E36E0" w:rsidP="0090176E">
      <w:pPr>
        <w:rPr>
          <w:rFonts w:ascii="Arial" w:hAnsi="Arial" w:cs="Arial"/>
        </w:rPr>
      </w:pPr>
      <w:r>
        <w:rPr>
          <w:rFonts w:ascii="Arial" w:hAnsi="Arial" w:cs="Arial"/>
        </w:rPr>
        <w:t>Hermed udvalgets vurdering af hvordan kravet om regulering af overspænding finder anvendelse ved en udvidelse/ændring af en eksisterende installation.</w:t>
      </w:r>
    </w:p>
    <w:p w14:paraId="20AF5EE5" w14:textId="4B879408" w:rsidR="005E36E0" w:rsidRPr="005E36E0" w:rsidRDefault="005E36E0" w:rsidP="0090176E">
      <w:pPr>
        <w:rPr>
          <w:rFonts w:ascii="Arial" w:hAnsi="Arial" w:cs="Arial"/>
          <w:b/>
          <w:bCs/>
        </w:rPr>
      </w:pPr>
      <w:r>
        <w:rPr>
          <w:rFonts w:ascii="Arial" w:hAnsi="Arial" w:cs="Arial"/>
          <w:b/>
          <w:bCs/>
        </w:rPr>
        <w:t>Udvalgets vurdering:</w:t>
      </w:r>
    </w:p>
    <w:p w14:paraId="788A9CF3" w14:textId="77777777" w:rsidR="00432359" w:rsidRPr="00432359" w:rsidRDefault="00432359" w:rsidP="00432359">
      <w:pPr>
        <w:rPr>
          <w:rFonts w:ascii="Arial" w:hAnsi="Arial" w:cs="Arial"/>
          <w:u w:val="single"/>
        </w:rPr>
      </w:pPr>
      <w:r w:rsidRPr="00432359">
        <w:rPr>
          <w:rFonts w:ascii="Arial" w:hAnsi="Arial" w:cs="Arial"/>
          <w:u w:val="single"/>
        </w:rPr>
        <w:t>Nye Installationer</w:t>
      </w:r>
    </w:p>
    <w:p w14:paraId="78B4155A" w14:textId="77777777" w:rsidR="00432359" w:rsidRPr="00432359" w:rsidRDefault="00432359" w:rsidP="00432359">
      <w:pPr>
        <w:rPr>
          <w:rFonts w:ascii="Arial" w:hAnsi="Arial" w:cs="Arial"/>
        </w:rPr>
      </w:pPr>
      <w:r w:rsidRPr="00432359">
        <w:rPr>
          <w:rFonts w:ascii="Arial" w:hAnsi="Arial" w:cs="Arial"/>
        </w:rPr>
        <w:t>Nye elektriske installationer skal overholde installationsbekendtgørelsen og som udgangspunkt HD 60364 serien.</w:t>
      </w:r>
    </w:p>
    <w:p w14:paraId="2FA4204C" w14:textId="77777777" w:rsidR="00432359" w:rsidRPr="00432359" w:rsidRDefault="00432359" w:rsidP="00432359">
      <w:pPr>
        <w:rPr>
          <w:rFonts w:ascii="Arial" w:hAnsi="Arial" w:cs="Arial"/>
          <w:u w:val="single"/>
        </w:rPr>
      </w:pPr>
      <w:r w:rsidRPr="00432359">
        <w:rPr>
          <w:rFonts w:ascii="Arial" w:hAnsi="Arial" w:cs="Arial"/>
          <w:u w:val="single"/>
        </w:rPr>
        <w:t>Totalrenovering af bygninger</w:t>
      </w:r>
    </w:p>
    <w:p w14:paraId="4677CE2A" w14:textId="77777777" w:rsidR="00432359" w:rsidRPr="00432359" w:rsidRDefault="00432359" w:rsidP="00432359">
      <w:pPr>
        <w:rPr>
          <w:rFonts w:ascii="Arial" w:hAnsi="Arial" w:cs="Arial"/>
        </w:rPr>
      </w:pPr>
      <w:r w:rsidRPr="00432359">
        <w:rPr>
          <w:rFonts w:ascii="Arial" w:hAnsi="Arial" w:cs="Arial"/>
        </w:rPr>
        <w:t xml:space="preserve">Ved planlægning og udførelse af nye installationer i forbindelse med totalrenovering af eksisterende bygninger, hvor der er mulighed for at etablere beskyttende potentialudligning, skal der etableres overspændingsbeskyttelse efter HD 60364-4-443:2016, 443.4 og HD 60364-5-534:2016, 534. Ved totalrenovering forstås i den forbindelse en renovering, der er så omfattende, at det er muligt, at etablere beskyttende potentialudligning dvs. forbinde indgående metalliske dele, fx rør, fremmede ledende dele i konstruktionen og tilgængelig armering som kan forårsage en farlig potentialforskel. </w:t>
      </w:r>
    </w:p>
    <w:p w14:paraId="7D2CF0D4" w14:textId="77777777" w:rsidR="00432359" w:rsidRPr="00432359" w:rsidRDefault="00432359" w:rsidP="00432359">
      <w:pPr>
        <w:rPr>
          <w:rFonts w:ascii="Arial" w:hAnsi="Arial" w:cs="Arial"/>
          <w:u w:val="single"/>
        </w:rPr>
      </w:pPr>
      <w:r w:rsidRPr="00432359">
        <w:rPr>
          <w:rFonts w:ascii="Arial" w:hAnsi="Arial" w:cs="Arial"/>
          <w:u w:val="single"/>
        </w:rPr>
        <w:t>Udvidelse eller ændring af en eksisterende installation</w:t>
      </w:r>
    </w:p>
    <w:p w14:paraId="401FF179" w14:textId="77777777" w:rsidR="00432359" w:rsidRPr="00432359" w:rsidRDefault="00432359" w:rsidP="00432359">
      <w:pPr>
        <w:rPr>
          <w:rFonts w:ascii="Arial" w:hAnsi="Arial" w:cs="Arial"/>
        </w:rPr>
      </w:pPr>
      <w:r w:rsidRPr="00432359">
        <w:rPr>
          <w:rFonts w:ascii="Arial" w:hAnsi="Arial" w:cs="Arial"/>
        </w:rPr>
        <w:t>Ved udvidelse eller ændring af en eksisterende installation skal der foretages en risikovurdering af, om udstyret til beskyttelse mod transiente overspændinger (SPD) kan fungere efter hensigten, så kravet i 443.4 Regulering af overspænding opfyldes. Der skal som minimum indgå følgende forhold:</w:t>
      </w:r>
    </w:p>
    <w:p w14:paraId="247F7D8F" w14:textId="77777777" w:rsidR="00432359" w:rsidRPr="00432359" w:rsidRDefault="00432359" w:rsidP="00432359">
      <w:pPr>
        <w:rPr>
          <w:rFonts w:ascii="Arial" w:hAnsi="Arial" w:cs="Arial"/>
        </w:rPr>
      </w:pPr>
      <w:r w:rsidRPr="00432359">
        <w:rPr>
          <w:rFonts w:ascii="Arial" w:hAnsi="Arial" w:cs="Arial"/>
        </w:rPr>
        <w:t>- Er der en effektiv beskyttelsesleder i installationen</w:t>
      </w:r>
    </w:p>
    <w:p w14:paraId="4A009F2E" w14:textId="77777777" w:rsidR="00432359" w:rsidRPr="00432359" w:rsidRDefault="00432359" w:rsidP="00432359">
      <w:pPr>
        <w:rPr>
          <w:rFonts w:ascii="Arial" w:hAnsi="Arial" w:cs="Arial"/>
        </w:rPr>
      </w:pPr>
      <w:r w:rsidRPr="00432359">
        <w:rPr>
          <w:rFonts w:ascii="Arial" w:hAnsi="Arial" w:cs="Arial"/>
        </w:rPr>
        <w:t xml:space="preserve">- Kan </w:t>
      </w:r>
      <w:proofErr w:type="spellStart"/>
      <w:r w:rsidRPr="00432359">
        <w:rPr>
          <w:rFonts w:ascii="Arial" w:hAnsi="Arial" w:cs="Arial"/>
        </w:rPr>
        <w:t>SPD’en</w:t>
      </w:r>
      <w:proofErr w:type="spellEnd"/>
      <w:r w:rsidRPr="00432359">
        <w:rPr>
          <w:rFonts w:ascii="Arial" w:hAnsi="Arial" w:cs="Arial"/>
        </w:rPr>
        <w:t xml:space="preserve"> installeres efter fabrikantens anvisning</w:t>
      </w:r>
    </w:p>
    <w:p w14:paraId="14E78573" w14:textId="77777777" w:rsidR="00432359" w:rsidRPr="00432359" w:rsidRDefault="00432359" w:rsidP="00432359">
      <w:pPr>
        <w:rPr>
          <w:rFonts w:ascii="Arial" w:hAnsi="Arial" w:cs="Arial"/>
        </w:rPr>
      </w:pPr>
      <w:r w:rsidRPr="00432359">
        <w:rPr>
          <w:rFonts w:ascii="Arial" w:hAnsi="Arial" w:cs="Arial"/>
        </w:rPr>
        <w:lastRenderedPageBreak/>
        <w:t>- Er der etableret hovedudligningsforbindelse</w:t>
      </w:r>
    </w:p>
    <w:p w14:paraId="10F7492C" w14:textId="77777777" w:rsidR="00432359" w:rsidRPr="00432359" w:rsidRDefault="00432359" w:rsidP="00432359">
      <w:pPr>
        <w:rPr>
          <w:rFonts w:ascii="Arial" w:hAnsi="Arial" w:cs="Arial"/>
        </w:rPr>
      </w:pPr>
      <w:r w:rsidRPr="00432359">
        <w:rPr>
          <w:rFonts w:ascii="Arial" w:hAnsi="Arial" w:cs="Arial"/>
        </w:rPr>
        <w:t>- Kan installationen separeres fra den eksisterende installation uden overspændingsbeskyttelse</w:t>
      </w:r>
    </w:p>
    <w:p w14:paraId="79BEDFE4" w14:textId="77777777" w:rsidR="00432359" w:rsidRPr="00432359" w:rsidRDefault="00432359" w:rsidP="00432359">
      <w:pPr>
        <w:rPr>
          <w:rFonts w:ascii="Arial" w:hAnsi="Arial" w:cs="Arial"/>
        </w:rPr>
      </w:pPr>
      <w:r w:rsidRPr="00432359">
        <w:rPr>
          <w:rFonts w:ascii="Arial" w:hAnsi="Arial" w:cs="Arial"/>
        </w:rPr>
        <w:t xml:space="preserve">- Kan </w:t>
      </w:r>
      <w:proofErr w:type="spellStart"/>
      <w:r w:rsidRPr="00432359">
        <w:rPr>
          <w:rFonts w:ascii="Arial" w:hAnsi="Arial" w:cs="Arial"/>
        </w:rPr>
        <w:t>SPD’en</w:t>
      </w:r>
      <w:proofErr w:type="spellEnd"/>
      <w:r w:rsidRPr="00432359">
        <w:rPr>
          <w:rFonts w:ascii="Arial" w:hAnsi="Arial" w:cs="Arial"/>
        </w:rPr>
        <w:t xml:space="preserve"> installeres i tavlens tilslutningspunkt.</w:t>
      </w:r>
    </w:p>
    <w:p w14:paraId="2AA035E6" w14:textId="77777777" w:rsidR="00432359" w:rsidRPr="00432359" w:rsidRDefault="00432359" w:rsidP="00432359">
      <w:pPr>
        <w:rPr>
          <w:rFonts w:ascii="Arial" w:hAnsi="Arial" w:cs="Arial"/>
        </w:rPr>
      </w:pPr>
      <w:r w:rsidRPr="00432359">
        <w:rPr>
          <w:rFonts w:ascii="Arial" w:hAnsi="Arial" w:cs="Arial"/>
        </w:rPr>
        <w:t>Hvis der i 443.4 er krav om overspændingsbeskyttelse og ovenstående risikovurdering viser, at en SPD kan fungere efter hensigten, skal der etableres beskyttelse mod transient overspænding.</w:t>
      </w:r>
    </w:p>
    <w:p w14:paraId="5F408CFF" w14:textId="77777777" w:rsidR="00432359" w:rsidRPr="00432359" w:rsidRDefault="00432359" w:rsidP="00432359">
      <w:pPr>
        <w:rPr>
          <w:rFonts w:ascii="Arial" w:hAnsi="Arial" w:cs="Arial"/>
        </w:rPr>
      </w:pPr>
      <w:r w:rsidRPr="00432359">
        <w:rPr>
          <w:rFonts w:ascii="Arial" w:hAnsi="Arial" w:cs="Arial"/>
        </w:rPr>
        <w:t>Hvis der fx ikke er etableret fuldt dækkende hovedudligningsforbindelse og risikovurdering viser, at en SPD ikke kan fungere efter hensigten, vil der ikke være krav om beskyttelse mod transient overspænding, men der er ikke noget til hinder for at installere SPD hvis dette kan ske i overensstemmelse med kravene i 443, 534 og fabrikantanvisninger. Funktionen af en SPD vil dog ikke være så god som hvis der var fuldt dækkende hovedudligningsforbindelse.</w:t>
      </w:r>
    </w:p>
    <w:p w14:paraId="4A6E07AD" w14:textId="77777777" w:rsidR="00432359" w:rsidRPr="00432359" w:rsidRDefault="00432359" w:rsidP="00432359">
      <w:pPr>
        <w:rPr>
          <w:rFonts w:ascii="Arial" w:hAnsi="Arial" w:cs="Arial"/>
          <w:u w:val="single"/>
        </w:rPr>
      </w:pPr>
      <w:r w:rsidRPr="00432359">
        <w:rPr>
          <w:rFonts w:ascii="Arial" w:hAnsi="Arial" w:cs="Arial"/>
          <w:u w:val="single"/>
        </w:rPr>
        <w:t>Eksisterende installationer</w:t>
      </w:r>
    </w:p>
    <w:p w14:paraId="56A482C1" w14:textId="56459431" w:rsidR="004A0273" w:rsidRDefault="00432359" w:rsidP="004A0273">
      <w:pPr>
        <w:rPr>
          <w:rFonts w:ascii="Arial" w:hAnsi="Arial" w:cs="Arial"/>
        </w:rPr>
      </w:pPr>
      <w:r w:rsidRPr="00432359">
        <w:rPr>
          <w:rFonts w:ascii="Arial" w:hAnsi="Arial" w:cs="Arial"/>
        </w:rPr>
        <w:t>I eksisterende installationer udført efter tidligere nationale bestemmelser gældende før 1. juli 2019 er der ikke krav om overspændingsbeskyttelse af den eksisterende installation.</w:t>
      </w:r>
    </w:p>
    <w:p w14:paraId="46530992" w14:textId="44FE1017" w:rsidR="004A0273" w:rsidRDefault="005908AF" w:rsidP="004A0273">
      <w:pPr>
        <w:rPr>
          <w:rFonts w:ascii="Arial" w:hAnsi="Arial" w:cs="Arial"/>
          <w:sz w:val="20"/>
          <w:szCs w:val="20"/>
        </w:rPr>
      </w:pPr>
      <w:r>
        <w:rPr>
          <w:rFonts w:ascii="Arial" w:hAnsi="Arial" w:cs="Arial"/>
          <w:sz w:val="20"/>
          <w:szCs w:val="20"/>
        </w:rPr>
        <w:pict w14:anchorId="2F4C32C0">
          <v:rect id="_x0000_i1042" style="width:0;height:1.5pt" o:hralign="center" o:bullet="t" o:hrstd="t" o:hr="t" fillcolor="#a0a0a0" stroked="f"/>
        </w:pict>
      </w:r>
    </w:p>
    <w:p w14:paraId="63B997B8" w14:textId="3E28B5B7" w:rsidR="00186812" w:rsidRDefault="00BA77CA" w:rsidP="00BA77CA">
      <w:pPr>
        <w:rPr>
          <w:rFonts w:ascii="Arial" w:hAnsi="Arial" w:cs="Arial"/>
          <w:b/>
        </w:rPr>
      </w:pPr>
      <w:r w:rsidRPr="00300AD1">
        <w:rPr>
          <w:rFonts w:ascii="Arial" w:hAnsi="Arial" w:cs="Arial"/>
          <w:b/>
        </w:rPr>
        <w:t>DS/HD 60364-5-52</w:t>
      </w:r>
      <w:r w:rsidR="001C6D66">
        <w:rPr>
          <w:rFonts w:ascii="Arial" w:hAnsi="Arial" w:cs="Arial"/>
          <w:b/>
        </w:rPr>
        <w:t>:2011+A11+RET.</w:t>
      </w:r>
      <w:r w:rsidR="007565A6">
        <w:rPr>
          <w:rFonts w:ascii="Arial" w:hAnsi="Arial" w:cs="Arial"/>
          <w:b/>
        </w:rPr>
        <w:t xml:space="preserve"> 1:2019</w:t>
      </w:r>
      <w:r w:rsidR="007565A6">
        <w:rPr>
          <w:rFonts w:ascii="Arial" w:hAnsi="Arial" w:cs="Arial"/>
          <w:b/>
        </w:rPr>
        <w:tab/>
      </w:r>
      <w:r w:rsidR="007565A6">
        <w:rPr>
          <w:rFonts w:ascii="Arial" w:hAnsi="Arial" w:cs="Arial"/>
          <w:b/>
        </w:rPr>
        <w:tab/>
      </w:r>
      <w:r w:rsidR="007565A6">
        <w:rPr>
          <w:rFonts w:ascii="Arial" w:hAnsi="Arial" w:cs="Arial"/>
          <w:b/>
        </w:rPr>
        <w:tab/>
        <w:t>2019-09-25</w:t>
      </w:r>
      <w:r w:rsidRPr="00300AD1">
        <w:rPr>
          <w:rFonts w:ascii="Arial" w:hAnsi="Arial" w:cs="Arial"/>
          <w:b/>
        </w:rPr>
        <w:t xml:space="preserve"> </w:t>
      </w:r>
    </w:p>
    <w:p w14:paraId="28BDE527" w14:textId="486F7C1D" w:rsidR="00BA77CA" w:rsidRPr="00300AD1" w:rsidRDefault="001C6D66" w:rsidP="00BA77CA">
      <w:pPr>
        <w:rPr>
          <w:rFonts w:ascii="Arial" w:hAnsi="Arial" w:cs="Arial"/>
          <w:b/>
        </w:rPr>
      </w:pPr>
      <w:r>
        <w:rPr>
          <w:rFonts w:ascii="Arial" w:hAnsi="Arial" w:cs="Arial"/>
          <w:b/>
        </w:rPr>
        <w:t xml:space="preserve">Spændingsfald </w:t>
      </w:r>
      <w:r w:rsidR="00BA77CA" w:rsidRPr="00300AD1">
        <w:rPr>
          <w:rFonts w:ascii="Arial" w:hAnsi="Arial" w:cs="Arial"/>
          <w:b/>
        </w:rPr>
        <w:t>pkt. 525</w:t>
      </w:r>
    </w:p>
    <w:p w14:paraId="180CDFDD" w14:textId="48CBA009" w:rsidR="00BA77CA" w:rsidRPr="00300AD1" w:rsidRDefault="00BA77CA" w:rsidP="00BA77CA">
      <w:pPr>
        <w:rPr>
          <w:rFonts w:ascii="Arial" w:hAnsi="Arial" w:cs="Arial"/>
        </w:rPr>
      </w:pPr>
      <w:r>
        <w:rPr>
          <w:rFonts w:ascii="Arial" w:hAnsi="Arial" w:cs="Arial"/>
        </w:rPr>
        <w:t>P</w:t>
      </w:r>
      <w:r w:rsidRPr="00300AD1">
        <w:rPr>
          <w:rFonts w:ascii="Arial" w:hAnsi="Arial" w:cs="Arial"/>
        </w:rPr>
        <w:t xml:space="preserve">unkt 525 i HD 60364-5-52, </w:t>
      </w:r>
      <w:r>
        <w:rPr>
          <w:rFonts w:ascii="Arial" w:hAnsi="Arial" w:cs="Arial"/>
        </w:rPr>
        <w:t xml:space="preserve">omkring </w:t>
      </w:r>
      <w:r w:rsidRPr="00300AD1">
        <w:rPr>
          <w:rFonts w:ascii="Arial" w:hAnsi="Arial" w:cs="Arial"/>
        </w:rPr>
        <w:t>spændingsfald i installation</w:t>
      </w:r>
      <w:r>
        <w:rPr>
          <w:rFonts w:ascii="Arial" w:hAnsi="Arial" w:cs="Arial"/>
        </w:rPr>
        <w:t>en,</w:t>
      </w:r>
      <w:r w:rsidRPr="00300AD1">
        <w:rPr>
          <w:rFonts w:ascii="Arial" w:hAnsi="Arial" w:cs="Arial"/>
        </w:rPr>
        <w:t xml:space="preserve"> har været drøftet</w:t>
      </w:r>
      <w:r>
        <w:rPr>
          <w:rFonts w:ascii="Arial" w:hAnsi="Arial" w:cs="Arial"/>
        </w:rPr>
        <w:t xml:space="preserve"> i udvalget og punkt 525 samt tabel G.52.1 forklares</w:t>
      </w:r>
      <w:r w:rsidRPr="00300AD1">
        <w:rPr>
          <w:rFonts w:ascii="Arial" w:hAnsi="Arial" w:cs="Arial"/>
        </w:rPr>
        <w:t xml:space="preserve"> af udvalget på følgende måde: </w:t>
      </w:r>
    </w:p>
    <w:p w14:paraId="40F4DAD5" w14:textId="77777777" w:rsidR="00BA77CA" w:rsidRPr="00300AD1" w:rsidRDefault="00BA77CA" w:rsidP="00BA77CA">
      <w:pPr>
        <w:rPr>
          <w:rFonts w:ascii="Arial" w:hAnsi="Arial" w:cs="Arial"/>
        </w:rPr>
      </w:pPr>
      <w:r w:rsidRPr="00300AD1">
        <w:rPr>
          <w:rFonts w:ascii="Arial" w:hAnsi="Arial" w:cs="Arial"/>
        </w:rPr>
        <w:t xml:space="preserve">For installationer, der er forsynet fra kollektiv forsyning herunder egen kollektivt ejet transformer, er det punkt A i tabel G.52.1, der skal følges, og dermed bør spændingsfaldet ikke være større end 3 hhv. 5 %. Spændingsfaldet regnes fra forsyningspunktet (tilslutningspunktet), som typisk vil være stikledningens tilslutningspunkt. </w:t>
      </w:r>
    </w:p>
    <w:p w14:paraId="0C7BE40A" w14:textId="77777777" w:rsidR="00BA77CA" w:rsidRPr="00300AD1" w:rsidRDefault="00BA77CA" w:rsidP="00BA77CA">
      <w:pPr>
        <w:rPr>
          <w:rFonts w:ascii="Arial" w:hAnsi="Arial" w:cs="Arial"/>
        </w:rPr>
      </w:pPr>
      <w:r w:rsidRPr="00300AD1">
        <w:rPr>
          <w:rFonts w:ascii="Arial" w:hAnsi="Arial" w:cs="Arial"/>
        </w:rPr>
        <w:t xml:space="preserve">For installationer, der er forsynet fra egen ejet transformer, er det punkt B i tabel G.52.1, der skal følges, og dermed bør spændingsfaldet ikke være større end 6 hhv. 8 %. Spændingsfaldet regnes ligeledes fra forsyningspunktet, men her vil forsyningspunktet typisk være lavspændingsafgangen ved transformeren. </w:t>
      </w:r>
    </w:p>
    <w:p w14:paraId="61BC1D18" w14:textId="54294CF4" w:rsidR="00681944" w:rsidRDefault="00BA77CA" w:rsidP="004A0273">
      <w:pPr>
        <w:rPr>
          <w:rFonts w:ascii="Arial" w:hAnsi="Arial" w:cs="Arial"/>
        </w:rPr>
      </w:pPr>
      <w:r w:rsidRPr="00300AD1">
        <w:rPr>
          <w:rFonts w:ascii="Arial" w:hAnsi="Arial" w:cs="Arial"/>
        </w:rPr>
        <w:t>Med belysning menes, at det gælder for installationer, der indeholder fx lampeudtag og lysarmaturer samt tilslutningssteder for armatursystemer.</w:t>
      </w:r>
    </w:p>
    <w:p w14:paraId="5BF89714" w14:textId="7E4F66CA" w:rsidR="00681944" w:rsidRDefault="005908AF" w:rsidP="004A0273">
      <w:pPr>
        <w:rPr>
          <w:rFonts w:ascii="Arial" w:hAnsi="Arial" w:cs="Arial"/>
        </w:rPr>
      </w:pPr>
      <w:r>
        <w:rPr>
          <w:rFonts w:ascii="Arial" w:hAnsi="Arial" w:cs="Arial"/>
          <w:sz w:val="20"/>
          <w:szCs w:val="20"/>
        </w:rPr>
        <w:pict w14:anchorId="359DB5AC">
          <v:rect id="_x0000_i1043" style="width:0;height:1.5pt" o:hralign="center" o:bullet="t" o:hrstd="t" o:hr="t" fillcolor="#a0a0a0" stroked="f"/>
        </w:pict>
      </w:r>
    </w:p>
    <w:p w14:paraId="192B7DD1" w14:textId="77777777" w:rsidR="004A0273" w:rsidRPr="000D4CA4" w:rsidRDefault="004A0273" w:rsidP="004A0273">
      <w:pPr>
        <w:pStyle w:val="Default"/>
        <w:rPr>
          <w:b/>
          <w:bCs/>
          <w:sz w:val="22"/>
          <w:szCs w:val="22"/>
        </w:rPr>
      </w:pPr>
      <w:r w:rsidRPr="000D4CA4">
        <w:rPr>
          <w:b/>
          <w:bCs/>
          <w:sz w:val="22"/>
          <w:szCs w:val="22"/>
        </w:rPr>
        <w:t xml:space="preserve">DS/HD 60364-7-701:2007+A11+A12:2017 (SIK) </w:t>
      </w:r>
      <w:r>
        <w:rPr>
          <w:b/>
          <w:bCs/>
          <w:sz w:val="22"/>
          <w:szCs w:val="22"/>
        </w:rPr>
        <w:tab/>
      </w:r>
      <w:r>
        <w:rPr>
          <w:b/>
          <w:bCs/>
          <w:sz w:val="22"/>
          <w:szCs w:val="22"/>
        </w:rPr>
        <w:tab/>
      </w:r>
      <w:r>
        <w:rPr>
          <w:b/>
          <w:bCs/>
          <w:sz w:val="22"/>
          <w:szCs w:val="22"/>
        </w:rPr>
        <w:tab/>
        <w:t>2019-09-25</w:t>
      </w:r>
    </w:p>
    <w:p w14:paraId="34867D9D" w14:textId="77777777" w:rsidR="004A0273" w:rsidRPr="00A63FED" w:rsidRDefault="004A0273" w:rsidP="004A0273">
      <w:pPr>
        <w:pStyle w:val="Default"/>
        <w:rPr>
          <w:b/>
          <w:bCs/>
          <w:sz w:val="22"/>
          <w:szCs w:val="22"/>
        </w:rPr>
      </w:pPr>
    </w:p>
    <w:p w14:paraId="5942B719" w14:textId="4D2EB55A" w:rsidR="007565A6" w:rsidRPr="008A3A66" w:rsidRDefault="008A3A66" w:rsidP="004A0273">
      <w:pPr>
        <w:pStyle w:val="Default"/>
        <w:rPr>
          <w:b/>
          <w:bCs/>
          <w:sz w:val="22"/>
          <w:szCs w:val="22"/>
        </w:rPr>
      </w:pPr>
      <w:r w:rsidRPr="008A3A66">
        <w:rPr>
          <w:b/>
          <w:bCs/>
          <w:sz w:val="22"/>
          <w:szCs w:val="22"/>
        </w:rPr>
        <w:t>Badeværelser</w:t>
      </w:r>
      <w:r>
        <w:rPr>
          <w:b/>
          <w:bCs/>
          <w:sz w:val="22"/>
          <w:szCs w:val="22"/>
        </w:rPr>
        <w:t xml:space="preserve"> del 701.</w:t>
      </w:r>
    </w:p>
    <w:p w14:paraId="268DBCD7" w14:textId="292FB224" w:rsidR="004A0273" w:rsidRDefault="004A0273" w:rsidP="004A0273">
      <w:pPr>
        <w:pStyle w:val="Default"/>
        <w:rPr>
          <w:bCs/>
          <w:sz w:val="22"/>
          <w:szCs w:val="22"/>
        </w:rPr>
      </w:pPr>
      <w:r>
        <w:rPr>
          <w:bCs/>
          <w:sz w:val="22"/>
          <w:szCs w:val="22"/>
        </w:rPr>
        <w:t>Hermed u</w:t>
      </w:r>
      <w:r w:rsidRPr="00300AD1">
        <w:rPr>
          <w:bCs/>
          <w:sz w:val="22"/>
          <w:szCs w:val="22"/>
        </w:rPr>
        <w:t>dva</w:t>
      </w:r>
      <w:r>
        <w:rPr>
          <w:bCs/>
          <w:sz w:val="22"/>
          <w:szCs w:val="22"/>
        </w:rPr>
        <w:t xml:space="preserve">lget vurdering af </w:t>
      </w:r>
      <w:r w:rsidRPr="00300AD1">
        <w:rPr>
          <w:bCs/>
          <w:sz w:val="22"/>
          <w:szCs w:val="22"/>
        </w:rPr>
        <w:t>standarden</w:t>
      </w:r>
      <w:r>
        <w:rPr>
          <w:bCs/>
          <w:sz w:val="22"/>
          <w:szCs w:val="22"/>
        </w:rPr>
        <w:t>s krav til installationer</w:t>
      </w:r>
      <w:r w:rsidR="00AF6FDD">
        <w:rPr>
          <w:bCs/>
          <w:sz w:val="22"/>
          <w:szCs w:val="22"/>
        </w:rPr>
        <w:t xml:space="preserve"> og installation af elektrisk materiel </w:t>
      </w:r>
      <w:r>
        <w:rPr>
          <w:bCs/>
          <w:sz w:val="22"/>
          <w:szCs w:val="22"/>
        </w:rPr>
        <w:t xml:space="preserve"> i </w:t>
      </w:r>
      <w:r w:rsidRPr="00300AD1">
        <w:rPr>
          <w:bCs/>
          <w:sz w:val="22"/>
          <w:szCs w:val="22"/>
        </w:rPr>
        <w:t>badeværelser</w:t>
      </w:r>
      <w:r>
        <w:rPr>
          <w:bCs/>
          <w:sz w:val="22"/>
          <w:szCs w:val="22"/>
        </w:rPr>
        <w:t>.</w:t>
      </w:r>
    </w:p>
    <w:p w14:paraId="26923E8D" w14:textId="77777777" w:rsidR="004A0273" w:rsidRPr="00300AD1" w:rsidRDefault="004A0273" w:rsidP="004A0273">
      <w:pPr>
        <w:pStyle w:val="Default"/>
        <w:rPr>
          <w:b/>
          <w:bCs/>
          <w:sz w:val="22"/>
          <w:szCs w:val="22"/>
        </w:rPr>
      </w:pPr>
    </w:p>
    <w:p w14:paraId="537674C6" w14:textId="77777777" w:rsidR="004A0273" w:rsidRPr="00300AD1" w:rsidRDefault="004A0273" w:rsidP="004A0273">
      <w:pPr>
        <w:pStyle w:val="Default"/>
        <w:rPr>
          <w:sz w:val="22"/>
          <w:szCs w:val="22"/>
        </w:rPr>
      </w:pPr>
      <w:r w:rsidRPr="00300AD1">
        <w:rPr>
          <w:b/>
          <w:bCs/>
          <w:sz w:val="22"/>
          <w:szCs w:val="22"/>
        </w:rPr>
        <w:t xml:space="preserve">Elektriske installationer i </w:t>
      </w:r>
      <w:r>
        <w:rPr>
          <w:b/>
          <w:bCs/>
          <w:sz w:val="22"/>
          <w:szCs w:val="22"/>
        </w:rPr>
        <w:t xml:space="preserve">et </w:t>
      </w:r>
      <w:r w:rsidRPr="00300AD1">
        <w:rPr>
          <w:b/>
          <w:bCs/>
          <w:sz w:val="22"/>
          <w:szCs w:val="22"/>
        </w:rPr>
        <w:t xml:space="preserve">område </w:t>
      </w:r>
      <w:r>
        <w:rPr>
          <w:b/>
          <w:bCs/>
          <w:sz w:val="22"/>
          <w:szCs w:val="22"/>
        </w:rPr>
        <w:t xml:space="preserve">med brusekabine </w:t>
      </w:r>
      <w:r w:rsidRPr="00300AD1">
        <w:rPr>
          <w:b/>
          <w:bCs/>
          <w:sz w:val="22"/>
          <w:szCs w:val="22"/>
        </w:rPr>
        <w:t xml:space="preserve"> </w:t>
      </w:r>
    </w:p>
    <w:p w14:paraId="026AA9B3" w14:textId="77777777" w:rsidR="004A0273" w:rsidRDefault="004A0273" w:rsidP="004A0273">
      <w:pPr>
        <w:pStyle w:val="Default"/>
        <w:rPr>
          <w:sz w:val="22"/>
          <w:szCs w:val="22"/>
        </w:rPr>
      </w:pPr>
      <w:r>
        <w:rPr>
          <w:sz w:val="22"/>
          <w:szCs w:val="22"/>
        </w:rPr>
        <w:t>Der</w:t>
      </w:r>
      <w:r w:rsidRPr="00300AD1">
        <w:rPr>
          <w:sz w:val="22"/>
          <w:szCs w:val="22"/>
        </w:rPr>
        <w:t xml:space="preserve"> </w:t>
      </w:r>
      <w:r>
        <w:rPr>
          <w:sz w:val="22"/>
          <w:szCs w:val="22"/>
        </w:rPr>
        <w:t xml:space="preserve">er </w:t>
      </w:r>
      <w:r w:rsidRPr="00300AD1">
        <w:rPr>
          <w:sz w:val="22"/>
          <w:szCs w:val="22"/>
        </w:rPr>
        <w:t xml:space="preserve">et </w:t>
      </w:r>
      <w:r>
        <w:rPr>
          <w:sz w:val="22"/>
          <w:szCs w:val="22"/>
        </w:rPr>
        <w:t>”o</w:t>
      </w:r>
      <w:r w:rsidRPr="00300AD1">
        <w:rPr>
          <w:sz w:val="22"/>
          <w:szCs w:val="22"/>
        </w:rPr>
        <w:t>mråde 2</w:t>
      </w:r>
      <w:r>
        <w:rPr>
          <w:sz w:val="22"/>
          <w:szCs w:val="22"/>
        </w:rPr>
        <w:t>”</w:t>
      </w:r>
      <w:r w:rsidRPr="00300AD1">
        <w:rPr>
          <w:sz w:val="22"/>
          <w:szCs w:val="22"/>
        </w:rPr>
        <w:t xml:space="preserve"> udenom </w:t>
      </w:r>
      <w:r>
        <w:rPr>
          <w:sz w:val="22"/>
          <w:szCs w:val="22"/>
        </w:rPr>
        <w:t xml:space="preserve">en </w:t>
      </w:r>
      <w:r w:rsidRPr="00300AD1">
        <w:rPr>
          <w:sz w:val="22"/>
          <w:szCs w:val="22"/>
        </w:rPr>
        <w:t>brusekabin</w:t>
      </w:r>
      <w:r>
        <w:rPr>
          <w:sz w:val="22"/>
          <w:szCs w:val="22"/>
        </w:rPr>
        <w:t>e</w:t>
      </w:r>
      <w:r w:rsidRPr="00300AD1">
        <w:rPr>
          <w:sz w:val="22"/>
          <w:szCs w:val="22"/>
        </w:rPr>
        <w:t xml:space="preserve">, uanset om den </w:t>
      </w:r>
      <w:r>
        <w:rPr>
          <w:sz w:val="22"/>
          <w:szCs w:val="22"/>
        </w:rPr>
        <w:t xml:space="preserve">er en del af </w:t>
      </w:r>
      <w:r w:rsidRPr="00300AD1">
        <w:rPr>
          <w:sz w:val="22"/>
          <w:szCs w:val="22"/>
        </w:rPr>
        <w:t>et bade</w:t>
      </w:r>
      <w:r>
        <w:rPr>
          <w:sz w:val="22"/>
          <w:szCs w:val="22"/>
        </w:rPr>
        <w:t xml:space="preserve">værelse </w:t>
      </w:r>
      <w:r w:rsidRPr="00300AD1">
        <w:rPr>
          <w:sz w:val="22"/>
          <w:szCs w:val="22"/>
        </w:rPr>
        <w:t xml:space="preserve">eller </w:t>
      </w:r>
      <w:r>
        <w:rPr>
          <w:sz w:val="22"/>
          <w:szCs w:val="22"/>
        </w:rPr>
        <w:t>er præfabrikeret og står i fx et soveværelse. Dette indebærer</w:t>
      </w:r>
      <w:r w:rsidRPr="00300AD1">
        <w:rPr>
          <w:sz w:val="22"/>
          <w:szCs w:val="22"/>
        </w:rPr>
        <w:t xml:space="preserve">, at der ikke må være stikkontakter i de 60 cm omkring brusekabinen. </w:t>
      </w:r>
      <w:r>
        <w:rPr>
          <w:sz w:val="22"/>
          <w:szCs w:val="22"/>
        </w:rPr>
        <w:t>D</w:t>
      </w:r>
      <w:r w:rsidRPr="00300AD1">
        <w:rPr>
          <w:sz w:val="22"/>
          <w:szCs w:val="22"/>
        </w:rPr>
        <w:t>øre og faste skillevægge</w:t>
      </w:r>
      <w:r>
        <w:rPr>
          <w:sz w:val="22"/>
          <w:szCs w:val="22"/>
        </w:rPr>
        <w:t xml:space="preserve"> kan ifølge standarden afgrænse området. </w:t>
      </w:r>
      <w:r w:rsidRPr="00300AD1">
        <w:rPr>
          <w:sz w:val="22"/>
          <w:szCs w:val="22"/>
        </w:rPr>
        <w:t xml:space="preserve"> </w:t>
      </w:r>
    </w:p>
    <w:p w14:paraId="50FCDC5E" w14:textId="77777777" w:rsidR="004A0273" w:rsidRPr="00300AD1" w:rsidRDefault="004A0273" w:rsidP="004A0273">
      <w:pPr>
        <w:pStyle w:val="Default"/>
        <w:rPr>
          <w:sz w:val="22"/>
          <w:szCs w:val="22"/>
        </w:rPr>
      </w:pPr>
    </w:p>
    <w:p w14:paraId="0F9EDFAA" w14:textId="77777777" w:rsidR="004A0273" w:rsidRPr="00300AD1" w:rsidRDefault="004A0273" w:rsidP="004A0273">
      <w:pPr>
        <w:pStyle w:val="Default"/>
        <w:rPr>
          <w:sz w:val="22"/>
          <w:szCs w:val="22"/>
        </w:rPr>
      </w:pPr>
      <w:r w:rsidRPr="00300AD1">
        <w:rPr>
          <w:b/>
          <w:bCs/>
          <w:sz w:val="22"/>
          <w:szCs w:val="22"/>
        </w:rPr>
        <w:t>Potentialudligning i områder med bad og bruser</w:t>
      </w:r>
    </w:p>
    <w:p w14:paraId="5CF73B3F" w14:textId="77777777" w:rsidR="004A0273" w:rsidRDefault="004A0273" w:rsidP="004A0273">
      <w:pPr>
        <w:pStyle w:val="Default"/>
        <w:rPr>
          <w:sz w:val="22"/>
          <w:szCs w:val="22"/>
        </w:rPr>
      </w:pPr>
      <w:r>
        <w:rPr>
          <w:sz w:val="22"/>
          <w:szCs w:val="22"/>
        </w:rPr>
        <w:lastRenderedPageBreak/>
        <w:t>De sidste</w:t>
      </w:r>
      <w:r w:rsidRPr="00300AD1">
        <w:rPr>
          <w:sz w:val="22"/>
          <w:szCs w:val="22"/>
        </w:rPr>
        <w:t xml:space="preserve"> </w:t>
      </w:r>
      <w:r>
        <w:rPr>
          <w:sz w:val="22"/>
          <w:szCs w:val="22"/>
        </w:rPr>
        <w:t>fem</w:t>
      </w:r>
      <w:r w:rsidRPr="00300AD1">
        <w:rPr>
          <w:sz w:val="22"/>
          <w:szCs w:val="22"/>
        </w:rPr>
        <w:t xml:space="preserve"> linjer i § 701.415.2, vedr. supplerende potentialudligning, gælder </w:t>
      </w:r>
      <w:r>
        <w:rPr>
          <w:sz w:val="22"/>
          <w:szCs w:val="22"/>
        </w:rPr>
        <w:t>kun i bygninger, hvor der ikke er beskyttende potentialudligning, og</w:t>
      </w:r>
      <w:r w:rsidRPr="00300AD1">
        <w:rPr>
          <w:sz w:val="22"/>
          <w:szCs w:val="22"/>
        </w:rPr>
        <w:t xml:space="preserve"> der etableres supplerende potentialudligning som beskrevet i HD 60364-4-41:2017, 415.2. I nye bygninger skal der altid laves supplerende beskyttende potentialudligning inde i de rum</w:t>
      </w:r>
      <w:r>
        <w:rPr>
          <w:sz w:val="22"/>
          <w:szCs w:val="22"/>
        </w:rPr>
        <w:t>,</w:t>
      </w:r>
      <w:r w:rsidRPr="00300AD1">
        <w:rPr>
          <w:sz w:val="22"/>
          <w:szCs w:val="22"/>
        </w:rPr>
        <w:t xml:space="preserve"> der indeholder bad eller bruser, fortrinsvis tæt ved det sted, hvor de fremmede ledende dele føres ind i sådanne rum. </w:t>
      </w:r>
    </w:p>
    <w:p w14:paraId="13A8CC76" w14:textId="77777777" w:rsidR="004A0273" w:rsidRDefault="004A0273" w:rsidP="004A0273">
      <w:pPr>
        <w:pBdr>
          <w:bottom w:val="single" w:sz="6" w:space="15" w:color="auto"/>
        </w:pBdr>
        <w:rPr>
          <w:rFonts w:ascii="Arial" w:hAnsi="Arial" w:cs="Arial"/>
        </w:rPr>
      </w:pPr>
      <w:r w:rsidRPr="00300AD1">
        <w:rPr>
          <w:rFonts w:ascii="Arial" w:hAnsi="Arial" w:cs="Arial"/>
        </w:rPr>
        <w:t>Et</w:t>
      </w:r>
      <w:r>
        <w:rPr>
          <w:rFonts w:ascii="Arial" w:hAnsi="Arial" w:cs="Arial"/>
        </w:rPr>
        <w:t xml:space="preserve"> generelt opmærksomhedspunkt er,</w:t>
      </w:r>
      <w:r w:rsidRPr="00300AD1">
        <w:rPr>
          <w:rFonts w:ascii="Arial" w:hAnsi="Arial" w:cs="Arial"/>
        </w:rPr>
        <w:t xml:space="preserve"> at termen "hovedpotentialudligning" stadig anvendes i HD 60364-7-701</w:t>
      </w:r>
      <w:r>
        <w:rPr>
          <w:rFonts w:ascii="Arial" w:hAnsi="Arial" w:cs="Arial"/>
        </w:rPr>
        <w:t>,</w:t>
      </w:r>
      <w:r w:rsidRPr="00300AD1">
        <w:rPr>
          <w:rFonts w:ascii="Arial" w:hAnsi="Arial" w:cs="Arial"/>
        </w:rPr>
        <w:t xml:space="preserve"> om end den er ændret. Dette skal i den fremtidige version ændres til beskyttende potentialudligning.</w:t>
      </w:r>
    </w:p>
    <w:p w14:paraId="4DB885E9" w14:textId="77777777" w:rsidR="004A0273" w:rsidRPr="00300AD1" w:rsidRDefault="004A0273" w:rsidP="004A0273">
      <w:pPr>
        <w:pBdr>
          <w:bottom w:val="single" w:sz="6" w:space="15" w:color="auto"/>
        </w:pBdr>
        <w:rPr>
          <w:rFonts w:ascii="Arial" w:hAnsi="Arial" w:cs="Arial"/>
        </w:rPr>
      </w:pPr>
      <w:r w:rsidRPr="000D4CA4">
        <w:rPr>
          <w:rFonts w:ascii="Arial" w:hAnsi="Arial" w:cs="Arial"/>
          <w:b/>
          <w:bCs/>
        </w:rPr>
        <w:t xml:space="preserve">Installation af elektrisk materiel i badeværelser </w:t>
      </w:r>
      <w:r>
        <w:rPr>
          <w:rFonts w:ascii="Arial" w:hAnsi="Arial" w:cs="Arial"/>
        </w:rPr>
        <w:br/>
      </w:r>
      <w:r w:rsidRPr="000D4CA4">
        <w:rPr>
          <w:rFonts w:ascii="Arial" w:hAnsi="Arial" w:cs="Arial"/>
        </w:rPr>
        <w:t>Området under</w:t>
      </w:r>
      <w:r>
        <w:rPr>
          <w:rFonts w:ascii="Arial" w:hAnsi="Arial" w:cs="Arial"/>
        </w:rPr>
        <w:t xml:space="preserve"> spabade opfattes som ”område 1”.</w:t>
      </w:r>
    </w:p>
    <w:sectPr w:rsidR="004A0273" w:rsidRPr="00300AD1">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D1C59" w14:textId="77777777" w:rsidR="00ED7DF5" w:rsidRDefault="00ED7DF5" w:rsidP="00920B03">
      <w:pPr>
        <w:spacing w:after="0" w:line="240" w:lineRule="auto"/>
      </w:pPr>
      <w:r>
        <w:separator/>
      </w:r>
    </w:p>
  </w:endnote>
  <w:endnote w:type="continuationSeparator" w:id="0">
    <w:p w14:paraId="561BE424" w14:textId="77777777" w:rsidR="00ED7DF5" w:rsidRDefault="00ED7DF5" w:rsidP="00920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BEA36" w14:textId="77777777" w:rsidR="00920B03" w:rsidRDefault="00920B0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D5377" w14:textId="77777777" w:rsidR="00920B03" w:rsidRDefault="00920B0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F6271" w14:textId="77777777" w:rsidR="00920B03" w:rsidRDefault="00920B0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A5D73" w14:textId="77777777" w:rsidR="00ED7DF5" w:rsidRDefault="00ED7DF5" w:rsidP="00920B03">
      <w:pPr>
        <w:spacing w:after="0" w:line="240" w:lineRule="auto"/>
      </w:pPr>
      <w:r>
        <w:separator/>
      </w:r>
    </w:p>
  </w:footnote>
  <w:footnote w:type="continuationSeparator" w:id="0">
    <w:p w14:paraId="48B21F0D" w14:textId="77777777" w:rsidR="00ED7DF5" w:rsidRDefault="00ED7DF5" w:rsidP="00920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599B8" w14:textId="77777777" w:rsidR="00920B03" w:rsidRDefault="00920B0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19F32" w14:textId="77777777" w:rsidR="00920B03" w:rsidRDefault="00920B0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19A73" w14:textId="77777777" w:rsidR="00920B03" w:rsidRDefault="00920B0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26" style="width:0;height:1.5pt" o:hralign="center" o:bullet="t" o:hrstd="t" o:hr="t" fillcolor="#a0a0a0" stroked="f"/>
    </w:pict>
  </w:numPicBullet>
  <w:numPicBullet w:numPicBulletId="1">
    <w:pict>
      <v:rect id="_x0000_i1027" style="width:0;height:1.5pt" o:hralign="center" o:bullet="t" o:hrstd="t" o:hr="t" fillcolor="#a0a0a0" stroked="f"/>
    </w:pict>
  </w:numPicBullet>
  <w:abstractNum w:abstractNumId="0" w15:restartNumberingAfterBreak="0">
    <w:nsid w:val="0EC3773F"/>
    <w:multiLevelType w:val="hybridMultilevel"/>
    <w:tmpl w:val="02FCE774"/>
    <w:lvl w:ilvl="0" w:tplc="0BA2C656">
      <w:start w:val="1"/>
      <w:numFmt w:val="bullet"/>
      <w:lvlText w:val=""/>
      <w:lvlPicBulletId w:val="0"/>
      <w:lvlJc w:val="left"/>
      <w:pPr>
        <w:tabs>
          <w:tab w:val="num" w:pos="720"/>
        </w:tabs>
        <w:ind w:left="720" w:hanging="360"/>
      </w:pPr>
      <w:rPr>
        <w:rFonts w:ascii="Symbol" w:hAnsi="Symbol" w:hint="default"/>
      </w:rPr>
    </w:lvl>
    <w:lvl w:ilvl="1" w:tplc="887A59FE" w:tentative="1">
      <w:start w:val="1"/>
      <w:numFmt w:val="bullet"/>
      <w:lvlText w:val=""/>
      <w:lvlJc w:val="left"/>
      <w:pPr>
        <w:tabs>
          <w:tab w:val="num" w:pos="1440"/>
        </w:tabs>
        <w:ind w:left="1440" w:hanging="360"/>
      </w:pPr>
      <w:rPr>
        <w:rFonts w:ascii="Symbol" w:hAnsi="Symbol" w:hint="default"/>
      </w:rPr>
    </w:lvl>
    <w:lvl w:ilvl="2" w:tplc="CE1CB6EC" w:tentative="1">
      <w:start w:val="1"/>
      <w:numFmt w:val="bullet"/>
      <w:lvlText w:val=""/>
      <w:lvlJc w:val="left"/>
      <w:pPr>
        <w:tabs>
          <w:tab w:val="num" w:pos="2160"/>
        </w:tabs>
        <w:ind w:left="2160" w:hanging="360"/>
      </w:pPr>
      <w:rPr>
        <w:rFonts w:ascii="Symbol" w:hAnsi="Symbol" w:hint="default"/>
      </w:rPr>
    </w:lvl>
    <w:lvl w:ilvl="3" w:tplc="3132B720" w:tentative="1">
      <w:start w:val="1"/>
      <w:numFmt w:val="bullet"/>
      <w:lvlText w:val=""/>
      <w:lvlJc w:val="left"/>
      <w:pPr>
        <w:tabs>
          <w:tab w:val="num" w:pos="2880"/>
        </w:tabs>
        <w:ind w:left="2880" w:hanging="360"/>
      </w:pPr>
      <w:rPr>
        <w:rFonts w:ascii="Symbol" w:hAnsi="Symbol" w:hint="default"/>
      </w:rPr>
    </w:lvl>
    <w:lvl w:ilvl="4" w:tplc="E4541544" w:tentative="1">
      <w:start w:val="1"/>
      <w:numFmt w:val="bullet"/>
      <w:lvlText w:val=""/>
      <w:lvlJc w:val="left"/>
      <w:pPr>
        <w:tabs>
          <w:tab w:val="num" w:pos="3600"/>
        </w:tabs>
        <w:ind w:left="3600" w:hanging="360"/>
      </w:pPr>
      <w:rPr>
        <w:rFonts w:ascii="Symbol" w:hAnsi="Symbol" w:hint="default"/>
      </w:rPr>
    </w:lvl>
    <w:lvl w:ilvl="5" w:tplc="298C640E" w:tentative="1">
      <w:start w:val="1"/>
      <w:numFmt w:val="bullet"/>
      <w:lvlText w:val=""/>
      <w:lvlJc w:val="left"/>
      <w:pPr>
        <w:tabs>
          <w:tab w:val="num" w:pos="4320"/>
        </w:tabs>
        <w:ind w:left="4320" w:hanging="360"/>
      </w:pPr>
      <w:rPr>
        <w:rFonts w:ascii="Symbol" w:hAnsi="Symbol" w:hint="default"/>
      </w:rPr>
    </w:lvl>
    <w:lvl w:ilvl="6" w:tplc="DF321DF8" w:tentative="1">
      <w:start w:val="1"/>
      <w:numFmt w:val="bullet"/>
      <w:lvlText w:val=""/>
      <w:lvlJc w:val="left"/>
      <w:pPr>
        <w:tabs>
          <w:tab w:val="num" w:pos="5040"/>
        </w:tabs>
        <w:ind w:left="5040" w:hanging="360"/>
      </w:pPr>
      <w:rPr>
        <w:rFonts w:ascii="Symbol" w:hAnsi="Symbol" w:hint="default"/>
      </w:rPr>
    </w:lvl>
    <w:lvl w:ilvl="7" w:tplc="F730818E" w:tentative="1">
      <w:start w:val="1"/>
      <w:numFmt w:val="bullet"/>
      <w:lvlText w:val=""/>
      <w:lvlJc w:val="left"/>
      <w:pPr>
        <w:tabs>
          <w:tab w:val="num" w:pos="5760"/>
        </w:tabs>
        <w:ind w:left="5760" w:hanging="360"/>
      </w:pPr>
      <w:rPr>
        <w:rFonts w:ascii="Symbol" w:hAnsi="Symbol" w:hint="default"/>
      </w:rPr>
    </w:lvl>
    <w:lvl w:ilvl="8" w:tplc="B81A6CE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7A4494E"/>
    <w:multiLevelType w:val="hybridMultilevel"/>
    <w:tmpl w:val="CCFC5E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5B26DC2"/>
    <w:multiLevelType w:val="hybridMultilevel"/>
    <w:tmpl w:val="064A91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7F245DB"/>
    <w:multiLevelType w:val="hybridMultilevel"/>
    <w:tmpl w:val="4246CC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7FE7DA1"/>
    <w:multiLevelType w:val="hybridMultilevel"/>
    <w:tmpl w:val="9C1E98D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3300630"/>
    <w:multiLevelType w:val="hybridMultilevel"/>
    <w:tmpl w:val="32C400B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710"/>
    <w:rsid w:val="00032284"/>
    <w:rsid w:val="000445DB"/>
    <w:rsid w:val="00045AEF"/>
    <w:rsid w:val="000653D1"/>
    <w:rsid w:val="000B3ADB"/>
    <w:rsid w:val="000D1BA6"/>
    <w:rsid w:val="000D4CA4"/>
    <w:rsid w:val="00104718"/>
    <w:rsid w:val="001106F2"/>
    <w:rsid w:val="00132248"/>
    <w:rsid w:val="001644F0"/>
    <w:rsid w:val="00173566"/>
    <w:rsid w:val="0018375F"/>
    <w:rsid w:val="00184373"/>
    <w:rsid w:val="00186812"/>
    <w:rsid w:val="001C6D66"/>
    <w:rsid w:val="001E20B3"/>
    <w:rsid w:val="0020153C"/>
    <w:rsid w:val="0023507C"/>
    <w:rsid w:val="00236282"/>
    <w:rsid w:val="00247DFE"/>
    <w:rsid w:val="00250770"/>
    <w:rsid w:val="00263B40"/>
    <w:rsid w:val="00264AA4"/>
    <w:rsid w:val="00281A80"/>
    <w:rsid w:val="002839D5"/>
    <w:rsid w:val="002C4423"/>
    <w:rsid w:val="002C59CB"/>
    <w:rsid w:val="002E6CDB"/>
    <w:rsid w:val="00300AD1"/>
    <w:rsid w:val="003050A8"/>
    <w:rsid w:val="00306684"/>
    <w:rsid w:val="003148A2"/>
    <w:rsid w:val="00316435"/>
    <w:rsid w:val="003360D6"/>
    <w:rsid w:val="00353A66"/>
    <w:rsid w:val="003922D1"/>
    <w:rsid w:val="003975C7"/>
    <w:rsid w:val="00400D52"/>
    <w:rsid w:val="00415840"/>
    <w:rsid w:val="00432359"/>
    <w:rsid w:val="00451D33"/>
    <w:rsid w:val="004669F1"/>
    <w:rsid w:val="00490095"/>
    <w:rsid w:val="004A0273"/>
    <w:rsid w:val="004D31E5"/>
    <w:rsid w:val="004E18B0"/>
    <w:rsid w:val="004E33C9"/>
    <w:rsid w:val="0050052E"/>
    <w:rsid w:val="00534569"/>
    <w:rsid w:val="00540396"/>
    <w:rsid w:val="00550A74"/>
    <w:rsid w:val="00563FDB"/>
    <w:rsid w:val="005C3702"/>
    <w:rsid w:val="005D4C22"/>
    <w:rsid w:val="005D77B9"/>
    <w:rsid w:val="005E36E0"/>
    <w:rsid w:val="006037CA"/>
    <w:rsid w:val="00621773"/>
    <w:rsid w:val="0062415B"/>
    <w:rsid w:val="006247AE"/>
    <w:rsid w:val="00637F4D"/>
    <w:rsid w:val="00663667"/>
    <w:rsid w:val="00670A6B"/>
    <w:rsid w:val="006716DF"/>
    <w:rsid w:val="00673E08"/>
    <w:rsid w:val="00681944"/>
    <w:rsid w:val="00690832"/>
    <w:rsid w:val="006A2064"/>
    <w:rsid w:val="006A2C53"/>
    <w:rsid w:val="006C015F"/>
    <w:rsid w:val="006D23AB"/>
    <w:rsid w:val="006E31B2"/>
    <w:rsid w:val="006E39AF"/>
    <w:rsid w:val="00703E73"/>
    <w:rsid w:val="00710628"/>
    <w:rsid w:val="007355E7"/>
    <w:rsid w:val="00743AB8"/>
    <w:rsid w:val="007565A6"/>
    <w:rsid w:val="0079606B"/>
    <w:rsid w:val="007C2292"/>
    <w:rsid w:val="007E1604"/>
    <w:rsid w:val="007F07EC"/>
    <w:rsid w:val="00802D75"/>
    <w:rsid w:val="00804E04"/>
    <w:rsid w:val="0086034D"/>
    <w:rsid w:val="008603D8"/>
    <w:rsid w:val="00866AE8"/>
    <w:rsid w:val="00867491"/>
    <w:rsid w:val="00880732"/>
    <w:rsid w:val="00885376"/>
    <w:rsid w:val="008A3A66"/>
    <w:rsid w:val="008A48A3"/>
    <w:rsid w:val="008B1998"/>
    <w:rsid w:val="008C7D8D"/>
    <w:rsid w:val="0090176E"/>
    <w:rsid w:val="00906188"/>
    <w:rsid w:val="009166FD"/>
    <w:rsid w:val="00920B03"/>
    <w:rsid w:val="009D01DB"/>
    <w:rsid w:val="00A0616A"/>
    <w:rsid w:val="00A06B91"/>
    <w:rsid w:val="00A41555"/>
    <w:rsid w:val="00A63FED"/>
    <w:rsid w:val="00A85C09"/>
    <w:rsid w:val="00A93441"/>
    <w:rsid w:val="00AC7B62"/>
    <w:rsid w:val="00AD110C"/>
    <w:rsid w:val="00AF6FDD"/>
    <w:rsid w:val="00B126E1"/>
    <w:rsid w:val="00B208F9"/>
    <w:rsid w:val="00B324F5"/>
    <w:rsid w:val="00B33905"/>
    <w:rsid w:val="00B3509C"/>
    <w:rsid w:val="00B456BE"/>
    <w:rsid w:val="00B644BB"/>
    <w:rsid w:val="00B7760A"/>
    <w:rsid w:val="00B816B0"/>
    <w:rsid w:val="00BA77CA"/>
    <w:rsid w:val="00BC11A7"/>
    <w:rsid w:val="00BC4D37"/>
    <w:rsid w:val="00BD1777"/>
    <w:rsid w:val="00BD4F50"/>
    <w:rsid w:val="00BF39D5"/>
    <w:rsid w:val="00C1014E"/>
    <w:rsid w:val="00C24B8B"/>
    <w:rsid w:val="00C41A83"/>
    <w:rsid w:val="00C43F93"/>
    <w:rsid w:val="00C46C59"/>
    <w:rsid w:val="00C604D6"/>
    <w:rsid w:val="00C86E94"/>
    <w:rsid w:val="00C87F43"/>
    <w:rsid w:val="00C91300"/>
    <w:rsid w:val="00C977DC"/>
    <w:rsid w:val="00CA3E1E"/>
    <w:rsid w:val="00CB62CC"/>
    <w:rsid w:val="00D05AF8"/>
    <w:rsid w:val="00D45AD6"/>
    <w:rsid w:val="00D80516"/>
    <w:rsid w:val="00D9238F"/>
    <w:rsid w:val="00D94D53"/>
    <w:rsid w:val="00DE049A"/>
    <w:rsid w:val="00DE4E8A"/>
    <w:rsid w:val="00DE65C1"/>
    <w:rsid w:val="00DE7D2C"/>
    <w:rsid w:val="00DE7D33"/>
    <w:rsid w:val="00E06BB8"/>
    <w:rsid w:val="00E07C49"/>
    <w:rsid w:val="00E1376B"/>
    <w:rsid w:val="00E215D0"/>
    <w:rsid w:val="00E24320"/>
    <w:rsid w:val="00E24710"/>
    <w:rsid w:val="00E34756"/>
    <w:rsid w:val="00E57567"/>
    <w:rsid w:val="00E63FBB"/>
    <w:rsid w:val="00E661FD"/>
    <w:rsid w:val="00E716FD"/>
    <w:rsid w:val="00EB5864"/>
    <w:rsid w:val="00EB60EA"/>
    <w:rsid w:val="00ED0A04"/>
    <w:rsid w:val="00ED7DF5"/>
    <w:rsid w:val="00F03E56"/>
    <w:rsid w:val="00F17D78"/>
    <w:rsid w:val="00F3532B"/>
    <w:rsid w:val="00F65EF2"/>
    <w:rsid w:val="00F67E96"/>
    <w:rsid w:val="00F8245C"/>
    <w:rsid w:val="00FC2C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5FC600E"/>
  <w15:chartTrackingRefBased/>
  <w15:docId w15:val="{FC2E3A6E-8F23-438C-81A7-A503795D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EB5864"/>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E24710"/>
    <w:rPr>
      <w:color w:val="003366"/>
      <w:u w:val="single"/>
    </w:rPr>
  </w:style>
  <w:style w:type="paragraph" w:customStyle="1" w:styleId="Default">
    <w:name w:val="Default"/>
    <w:rsid w:val="00703E73"/>
    <w:pPr>
      <w:autoSpaceDE w:val="0"/>
      <w:autoSpaceDN w:val="0"/>
      <w:adjustRightInd w:val="0"/>
      <w:spacing w:after="0" w:line="240" w:lineRule="auto"/>
    </w:pPr>
    <w:rPr>
      <w:rFonts w:ascii="Arial" w:hAnsi="Arial" w:cs="Arial"/>
      <w:color w:val="000000"/>
      <w:sz w:val="24"/>
      <w:szCs w:val="24"/>
    </w:rPr>
  </w:style>
  <w:style w:type="character" w:customStyle="1" w:styleId="Overskrift2Tegn">
    <w:name w:val="Overskrift 2 Tegn"/>
    <w:basedOn w:val="Standardskrifttypeiafsnit"/>
    <w:link w:val="Overskrift2"/>
    <w:uiPriority w:val="9"/>
    <w:rsid w:val="00EB5864"/>
    <w:rPr>
      <w:rFonts w:asciiTheme="majorHAnsi" w:eastAsiaTheme="majorEastAsia" w:hAnsiTheme="majorHAnsi" w:cstheme="majorBidi"/>
      <w:b/>
      <w:bCs/>
      <w:color w:val="4472C4" w:themeColor="accent1"/>
      <w:sz w:val="26"/>
      <w:szCs w:val="26"/>
    </w:rPr>
  </w:style>
  <w:style w:type="paragraph" w:styleId="Listeafsnit">
    <w:name w:val="List Paragraph"/>
    <w:basedOn w:val="Normal"/>
    <w:uiPriority w:val="34"/>
    <w:qFormat/>
    <w:rsid w:val="0079606B"/>
    <w:pPr>
      <w:keepNext/>
      <w:keepLines/>
      <w:spacing w:after="0" w:line="240" w:lineRule="auto"/>
      <w:ind w:left="720"/>
      <w:contextualSpacing/>
      <w:jc w:val="both"/>
    </w:pPr>
    <w:rPr>
      <w:rFonts w:ascii="Tahoma" w:eastAsia="Times New Roman" w:hAnsi="Tahoma" w:cs="Times New Roman"/>
      <w:kern w:val="22"/>
      <w:szCs w:val="20"/>
      <w:lang w:eastAsia="da-DK"/>
    </w:rPr>
  </w:style>
  <w:style w:type="paragraph" w:styleId="Sidehoved">
    <w:name w:val="header"/>
    <w:basedOn w:val="Normal"/>
    <w:link w:val="SidehovedTegn"/>
    <w:uiPriority w:val="99"/>
    <w:unhideWhenUsed/>
    <w:rsid w:val="00920B0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20B03"/>
  </w:style>
  <w:style w:type="paragraph" w:styleId="Sidefod">
    <w:name w:val="footer"/>
    <w:basedOn w:val="Normal"/>
    <w:link w:val="SidefodTegn"/>
    <w:uiPriority w:val="99"/>
    <w:unhideWhenUsed/>
    <w:rsid w:val="00920B0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20B03"/>
  </w:style>
  <w:style w:type="paragraph" w:styleId="Markeringsbobletekst">
    <w:name w:val="Balloon Text"/>
    <w:basedOn w:val="Normal"/>
    <w:link w:val="MarkeringsbobletekstTegn"/>
    <w:uiPriority w:val="99"/>
    <w:semiHidden/>
    <w:unhideWhenUsed/>
    <w:rsid w:val="00637F4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37F4D"/>
    <w:rPr>
      <w:rFonts w:ascii="Segoe UI" w:hAnsi="Segoe UI" w:cs="Segoe UI"/>
      <w:sz w:val="18"/>
      <w:szCs w:val="18"/>
    </w:rPr>
  </w:style>
  <w:style w:type="character" w:styleId="Kommentarhenvisning">
    <w:name w:val="annotation reference"/>
    <w:basedOn w:val="Standardskrifttypeiafsnit"/>
    <w:uiPriority w:val="99"/>
    <w:semiHidden/>
    <w:unhideWhenUsed/>
    <w:rsid w:val="004E18B0"/>
    <w:rPr>
      <w:sz w:val="16"/>
      <w:szCs w:val="16"/>
    </w:rPr>
  </w:style>
  <w:style w:type="paragraph" w:styleId="Kommentartekst">
    <w:name w:val="annotation text"/>
    <w:basedOn w:val="Normal"/>
    <w:link w:val="KommentartekstTegn"/>
    <w:uiPriority w:val="99"/>
    <w:semiHidden/>
    <w:unhideWhenUsed/>
    <w:rsid w:val="004E18B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E18B0"/>
    <w:rPr>
      <w:sz w:val="20"/>
      <w:szCs w:val="20"/>
    </w:rPr>
  </w:style>
  <w:style w:type="paragraph" w:styleId="Kommentaremne">
    <w:name w:val="annotation subject"/>
    <w:basedOn w:val="Kommentartekst"/>
    <w:next w:val="Kommentartekst"/>
    <w:link w:val="KommentaremneTegn"/>
    <w:uiPriority w:val="99"/>
    <w:semiHidden/>
    <w:unhideWhenUsed/>
    <w:rsid w:val="004E18B0"/>
    <w:rPr>
      <w:b/>
      <w:bCs/>
    </w:rPr>
  </w:style>
  <w:style w:type="character" w:customStyle="1" w:styleId="KommentaremneTegn">
    <w:name w:val="Kommentaremne Tegn"/>
    <w:basedOn w:val="KommentartekstTegn"/>
    <w:link w:val="Kommentaremne"/>
    <w:uiPriority w:val="99"/>
    <w:semiHidden/>
    <w:rsid w:val="004E18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020144">
      <w:bodyDiv w:val="1"/>
      <w:marLeft w:val="0"/>
      <w:marRight w:val="0"/>
      <w:marTop w:val="0"/>
      <w:marBottom w:val="0"/>
      <w:divBdr>
        <w:top w:val="none" w:sz="0" w:space="0" w:color="auto"/>
        <w:left w:val="none" w:sz="0" w:space="0" w:color="auto"/>
        <w:bottom w:val="none" w:sz="0" w:space="0" w:color="auto"/>
        <w:right w:val="none" w:sz="0" w:space="0" w:color="auto"/>
      </w:divBdr>
    </w:div>
    <w:div w:id="1326742670">
      <w:bodyDiv w:val="1"/>
      <w:marLeft w:val="0"/>
      <w:marRight w:val="0"/>
      <w:marTop w:val="0"/>
      <w:marBottom w:val="0"/>
      <w:divBdr>
        <w:top w:val="none" w:sz="0" w:space="0" w:color="auto"/>
        <w:left w:val="none" w:sz="0" w:space="0" w:color="auto"/>
        <w:bottom w:val="none" w:sz="0" w:space="0" w:color="auto"/>
        <w:right w:val="none" w:sz="0" w:space="0" w:color="auto"/>
      </w:divBdr>
    </w:div>
    <w:div w:id="186142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7AC7B51258D14F91DC76F2FE36166E" ma:contentTypeVersion="13" ma:contentTypeDescription="Create a new document." ma:contentTypeScope="" ma:versionID="e16ddbb24ff8c2d9607ff8501ab0dac5">
  <xsd:schema xmlns:xsd="http://www.w3.org/2001/XMLSchema" xmlns:xs="http://www.w3.org/2001/XMLSchema" xmlns:p="http://schemas.microsoft.com/office/2006/metadata/properties" xmlns:ns3="30c465e9-e639-4968-98c6-776645cded0e" xmlns:ns4="b7b0ea96-88c6-4b98-b324-2d1f8d2834ba" targetNamespace="http://schemas.microsoft.com/office/2006/metadata/properties" ma:root="true" ma:fieldsID="5fb8eb98df440882f523f8ddd5e8b60c" ns3:_="" ns4:_="">
    <xsd:import namespace="30c465e9-e639-4968-98c6-776645cded0e"/>
    <xsd:import namespace="b7b0ea96-88c6-4b98-b324-2d1f8d2834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465e9-e639-4968-98c6-776645cded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b0ea96-88c6-4b98-b324-2d1f8d2834b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EDAAAB-190D-4AB1-9EAF-653D6E7AFDD6}">
  <ds:schemaRefs>
    <ds:schemaRef ds:uri="http://schemas.microsoft.com/sharepoint/v3/contenttype/forms"/>
  </ds:schemaRefs>
</ds:datastoreItem>
</file>

<file path=customXml/itemProps2.xml><?xml version="1.0" encoding="utf-8"?>
<ds:datastoreItem xmlns:ds="http://schemas.openxmlformats.org/officeDocument/2006/customXml" ds:itemID="{E2DCA7FA-893F-4BAF-8084-914EB6E2D983}">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b7b0ea96-88c6-4b98-b324-2d1f8d2834ba"/>
    <ds:schemaRef ds:uri="30c465e9-e639-4968-98c6-776645cded0e"/>
    <ds:schemaRef ds:uri="http://www.w3.org/XML/1998/namespace"/>
  </ds:schemaRefs>
</ds:datastoreItem>
</file>

<file path=customXml/itemProps3.xml><?xml version="1.0" encoding="utf-8"?>
<ds:datastoreItem xmlns:ds="http://schemas.openxmlformats.org/officeDocument/2006/customXml" ds:itemID="{F2E84E1C-420B-4C07-A92D-E5F44D50ADCE}">
  <ds:schemaRefs>
    <ds:schemaRef ds:uri="http://schemas.openxmlformats.org/officeDocument/2006/bibliography"/>
  </ds:schemaRefs>
</ds:datastoreItem>
</file>

<file path=customXml/itemProps4.xml><?xml version="1.0" encoding="utf-8"?>
<ds:datastoreItem xmlns:ds="http://schemas.openxmlformats.org/officeDocument/2006/customXml" ds:itemID="{3485863C-258D-4ACF-B709-4BECD898B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465e9-e639-4968-98c6-776645cded0e"/>
    <ds:schemaRef ds:uri="b7b0ea96-88c6-4b98-b324-2d1f8d283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6889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Tebina</dc:creator>
  <cp:keywords/>
  <dc:description/>
  <cp:lastModifiedBy>Torben Dalsgaard</cp:lastModifiedBy>
  <cp:revision>2</cp:revision>
  <dcterms:created xsi:type="dcterms:W3CDTF">2020-08-17T13:01:00Z</dcterms:created>
  <dcterms:modified xsi:type="dcterms:W3CDTF">2020-08-17T13:01:00Z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0x010100617AC7B51258D14F91DC76F2FE36166E</vt:lpwstr>
  </property>
</Properties>
</file>