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3337" w14:textId="3CE955A4" w:rsidR="00463DB2" w:rsidRPr="008A1B95" w:rsidRDefault="00463DB2" w:rsidP="008A1B95">
      <w:pPr>
        <w:spacing w:after="0" w:line="240" w:lineRule="auto"/>
        <w:jc w:val="center"/>
        <w:rPr>
          <w:sz w:val="32"/>
          <w:szCs w:val="32"/>
        </w:rPr>
      </w:pPr>
      <w:r w:rsidRPr="008A1B95">
        <w:rPr>
          <w:sz w:val="32"/>
          <w:szCs w:val="32"/>
        </w:rPr>
        <w:t>FAQ vedr. DS 4</w:t>
      </w:r>
      <w:r w:rsidR="007E045E">
        <w:rPr>
          <w:sz w:val="32"/>
          <w:szCs w:val="32"/>
        </w:rPr>
        <w:t>32: 2020</w:t>
      </w:r>
      <w:r w:rsidRPr="008A1B95">
        <w:rPr>
          <w:sz w:val="32"/>
          <w:szCs w:val="32"/>
        </w:rPr>
        <w:t xml:space="preserve"> </w:t>
      </w:r>
      <w:r w:rsidR="007E045E" w:rsidRPr="007E045E">
        <w:rPr>
          <w:sz w:val="32"/>
          <w:szCs w:val="32"/>
        </w:rPr>
        <w:t>Afløbsinstallationer</w:t>
      </w:r>
    </w:p>
    <w:p w14:paraId="2F0F872E" w14:textId="73FE4D78" w:rsidR="00463DB2" w:rsidRPr="008A1B95" w:rsidRDefault="00463DB2" w:rsidP="008A1B95">
      <w:pPr>
        <w:spacing w:after="0" w:line="240" w:lineRule="auto"/>
        <w:jc w:val="center"/>
        <w:rPr>
          <w:sz w:val="32"/>
          <w:szCs w:val="32"/>
        </w:rPr>
      </w:pPr>
      <w:r w:rsidRPr="008A1B95">
        <w:rPr>
          <w:sz w:val="32"/>
          <w:szCs w:val="32"/>
        </w:rPr>
        <w:t xml:space="preserve">Udarbejdet af standardiseringsudvalget </w:t>
      </w:r>
      <w:r w:rsidR="007E045E" w:rsidRPr="007E045E">
        <w:rPr>
          <w:sz w:val="32"/>
          <w:szCs w:val="32"/>
        </w:rPr>
        <w:t>DS/S-315 - Afløbsteknik</w:t>
      </w:r>
    </w:p>
    <w:p w14:paraId="01C1C8C4" w14:textId="4B4E0E61" w:rsidR="00463DB2" w:rsidRDefault="00463DB2" w:rsidP="008A1B95">
      <w:pPr>
        <w:spacing w:after="0" w:line="240" w:lineRule="auto"/>
        <w:jc w:val="center"/>
      </w:pPr>
      <w:r>
        <w:t xml:space="preserve">Senest opdateret </w:t>
      </w:r>
      <w:r w:rsidR="009C2FA5">
        <w:t>08. juni</w:t>
      </w:r>
      <w:r w:rsidR="004224C9">
        <w:t xml:space="preserve"> 2021</w:t>
      </w:r>
      <w:r>
        <w:t xml:space="preserve"> </w:t>
      </w:r>
    </w:p>
    <w:p w14:paraId="023FC942" w14:textId="77777777" w:rsidR="00463DB2" w:rsidRDefault="00463DB2" w:rsidP="008A1B95">
      <w:pPr>
        <w:spacing w:after="0" w:line="240" w:lineRule="auto"/>
      </w:pPr>
    </w:p>
    <w:p w14:paraId="64188DBB" w14:textId="77777777" w:rsidR="008A1B95" w:rsidRDefault="008A1B95" w:rsidP="008A1B95">
      <w:pPr>
        <w:spacing w:after="0" w:line="240" w:lineRule="auto"/>
      </w:pPr>
    </w:p>
    <w:p w14:paraId="1D02203A" w14:textId="77777777" w:rsidR="00463DB2" w:rsidRDefault="00463DB2" w:rsidP="008A1B95">
      <w:pPr>
        <w:spacing w:after="0" w:line="240" w:lineRule="auto"/>
        <w:jc w:val="center"/>
      </w:pPr>
      <w:r>
        <w:t>Har du et spørgsmål, er du velkommen til at kontakte</w:t>
      </w:r>
    </w:p>
    <w:p w14:paraId="759B0AC3" w14:textId="77777777" w:rsidR="00463DB2" w:rsidRDefault="00463DB2" w:rsidP="008A1B95">
      <w:pPr>
        <w:spacing w:after="0" w:line="240" w:lineRule="auto"/>
        <w:jc w:val="center"/>
      </w:pPr>
      <w:r>
        <w:t>udvalgsansvarlig Henryk Stawicki på hen@ds.dk</w:t>
      </w:r>
    </w:p>
    <w:p w14:paraId="06F311D4" w14:textId="77777777" w:rsidR="00D457C9" w:rsidRDefault="00D457C9" w:rsidP="00D457C9">
      <w:pPr>
        <w:rPr>
          <w:b/>
          <w:bCs/>
          <w:sz w:val="36"/>
          <w:szCs w:val="36"/>
        </w:rPr>
      </w:pPr>
      <w:proofErr w:type="spellStart"/>
      <w:r>
        <w:rPr>
          <w:b/>
          <w:bCs/>
          <w:sz w:val="36"/>
          <w:szCs w:val="36"/>
        </w:rPr>
        <w:t>Disclaimer</w:t>
      </w:r>
      <w:proofErr w:type="spellEnd"/>
      <w:r>
        <w:rPr>
          <w:b/>
          <w:bCs/>
          <w:sz w:val="36"/>
          <w:szCs w:val="36"/>
        </w:rPr>
        <w:t>:</w:t>
      </w:r>
    </w:p>
    <w:p w14:paraId="35FFA232" w14:textId="77777777" w:rsidR="00D457C9" w:rsidRDefault="00D457C9" w:rsidP="00D457C9">
      <w:pPr>
        <w:rPr>
          <w:sz w:val="36"/>
          <w:szCs w:val="36"/>
        </w:rPr>
      </w:pPr>
      <w:r>
        <w:rPr>
          <w:sz w:val="36"/>
          <w:szCs w:val="36"/>
        </w:rPr>
        <w:t xml:space="preserve">Grundlæggende skal det understreges, at svar fra standardiseringsudvalg på henvendelser fra brugerne af standarderne </w:t>
      </w:r>
      <w:r>
        <w:rPr>
          <w:sz w:val="36"/>
          <w:szCs w:val="36"/>
          <w:u w:val="single"/>
        </w:rPr>
        <w:t>alene</w:t>
      </w:r>
      <w:r>
        <w:rPr>
          <w:sz w:val="36"/>
          <w:szCs w:val="36"/>
        </w:rPr>
        <w:t xml:space="preserve"> er udtryk for det pågældende S-udvalgs </w:t>
      </w:r>
      <w:r>
        <w:rPr>
          <w:sz w:val="36"/>
          <w:szCs w:val="36"/>
          <w:u w:val="single"/>
        </w:rPr>
        <w:t>fortolkning</w:t>
      </w:r>
      <w:r>
        <w:rPr>
          <w:sz w:val="36"/>
          <w:szCs w:val="36"/>
        </w:rPr>
        <w:t xml:space="preserve"> af standardens tekst. </w:t>
      </w:r>
    </w:p>
    <w:p w14:paraId="2AFE2A23" w14:textId="77777777" w:rsidR="00D457C9" w:rsidRPr="00646581" w:rsidRDefault="00D457C9" w:rsidP="00D457C9">
      <w:pPr>
        <w:rPr>
          <w:rFonts w:ascii="Georgia" w:hAnsi="Georgia"/>
        </w:rPr>
      </w:pPr>
      <w:r>
        <w:rPr>
          <w:sz w:val="36"/>
          <w:szCs w:val="36"/>
        </w:rPr>
        <w:t xml:space="preserve">Da der er tale om en </w:t>
      </w:r>
      <w:r>
        <w:rPr>
          <w:sz w:val="36"/>
          <w:szCs w:val="36"/>
          <w:u w:val="single"/>
        </w:rPr>
        <w:t>national dansk standard</w:t>
      </w:r>
      <w:r>
        <w:rPr>
          <w:sz w:val="36"/>
          <w:szCs w:val="36"/>
        </w:rPr>
        <w:t xml:space="preserve"> (DS) så er svaret fra S-udvalget alene et udtryk for udvalgets opfattelse af, hvordan standarden skal forstås og svaret er dermed ikke bindende for myndighederne. Spørgsmål og kommentarer vil kunne indgå i en fremtidig revision af standarden</w:t>
      </w:r>
    </w:p>
    <w:p w14:paraId="57F8D5CC" w14:textId="77777777" w:rsidR="00463DB2" w:rsidRDefault="00463DB2" w:rsidP="00463DB2"/>
    <w:p w14:paraId="002ECFCD" w14:textId="73A34F9D" w:rsidR="008A1B95" w:rsidRDefault="008A1B95" w:rsidP="00463DB2"/>
    <w:p w14:paraId="5B321E23" w14:textId="63258AC1" w:rsidR="00D457C9" w:rsidRDefault="00D457C9" w:rsidP="00463DB2"/>
    <w:p w14:paraId="3248EA20" w14:textId="324AA990" w:rsidR="00D457C9" w:rsidRDefault="00D457C9" w:rsidP="00463DB2"/>
    <w:p w14:paraId="7557CE47" w14:textId="4491793F" w:rsidR="00D457C9" w:rsidRDefault="00D457C9" w:rsidP="00463DB2"/>
    <w:p w14:paraId="1BE53EAE" w14:textId="44A2560E" w:rsidR="00D457C9" w:rsidRDefault="00D457C9" w:rsidP="00463DB2"/>
    <w:p w14:paraId="22CC1D72" w14:textId="0B926766" w:rsidR="00D457C9" w:rsidRDefault="00D457C9" w:rsidP="00463DB2"/>
    <w:p w14:paraId="0A956463" w14:textId="77777777" w:rsidR="00D457C9" w:rsidRDefault="00D457C9" w:rsidP="00463DB2"/>
    <w:p w14:paraId="2714B6BB" w14:textId="008470E0" w:rsidR="00463DB2" w:rsidRDefault="00463DB2" w:rsidP="00463DB2"/>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4A0" w:firstRow="1" w:lastRow="0" w:firstColumn="1" w:lastColumn="0" w:noHBand="0" w:noVBand="1"/>
      </w:tblPr>
      <w:tblGrid>
        <w:gridCol w:w="667"/>
        <w:gridCol w:w="953"/>
        <w:gridCol w:w="1936"/>
        <w:gridCol w:w="1877"/>
        <w:gridCol w:w="9876"/>
      </w:tblGrid>
      <w:tr w:rsidR="00B75705" w:rsidRPr="00B75705" w14:paraId="037BFD9D" w14:textId="77777777" w:rsidTr="00B75705">
        <w:trPr>
          <w:trHeight w:val="20"/>
          <w:jc w:val="center"/>
        </w:trPr>
        <w:tc>
          <w:tcPr>
            <w:tcW w:w="850" w:type="dxa"/>
            <w:tcBorders>
              <w:bottom w:val="nil"/>
              <w:right w:val="nil"/>
            </w:tcBorders>
            <w:shd w:val="clear" w:color="000000" w:fill="9BBA58"/>
          </w:tcPr>
          <w:p w14:paraId="60B2F4A1" w14:textId="77777777" w:rsidR="00B75705" w:rsidRPr="00B75705" w:rsidRDefault="00B75705" w:rsidP="005F0A5A">
            <w:pPr>
              <w:spacing w:after="0" w:line="240" w:lineRule="auto"/>
              <w:jc w:val="center"/>
              <w:rPr>
                <w:rFonts w:eastAsia="Times New Roman" w:cstheme="minorHAnsi"/>
                <w:b/>
                <w:bCs/>
                <w:color w:val="FFFFFF"/>
                <w:sz w:val="24"/>
                <w:szCs w:val="24"/>
                <w:lang w:eastAsia="da-DK"/>
              </w:rPr>
            </w:pPr>
          </w:p>
        </w:tc>
        <w:tc>
          <w:tcPr>
            <w:tcW w:w="5460" w:type="dxa"/>
            <w:gridSpan w:val="2"/>
            <w:shd w:val="clear" w:color="000000" w:fill="9BBA58"/>
            <w:hideMark/>
          </w:tcPr>
          <w:p w14:paraId="4C5FB661" w14:textId="0D7D0E6D" w:rsidR="00B75705" w:rsidRPr="00B75705" w:rsidRDefault="00B75705" w:rsidP="00143708">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 xml:space="preserve">Reference til DS </w:t>
            </w:r>
            <w:r w:rsidR="007E045E">
              <w:rPr>
                <w:rFonts w:eastAsia="Times New Roman" w:cstheme="minorHAnsi"/>
                <w:b/>
                <w:bCs/>
                <w:color w:val="FFFFFF"/>
                <w:sz w:val="24"/>
                <w:szCs w:val="24"/>
                <w:lang w:eastAsia="da-DK"/>
              </w:rPr>
              <w:t>432: 2020</w:t>
            </w:r>
          </w:p>
        </w:tc>
        <w:tc>
          <w:tcPr>
            <w:tcW w:w="3939" w:type="dxa"/>
            <w:tcBorders>
              <w:bottom w:val="nil"/>
            </w:tcBorders>
            <w:shd w:val="clear" w:color="000000" w:fill="9BBA58"/>
            <w:hideMark/>
          </w:tcPr>
          <w:p w14:paraId="0EE484AD"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6FC2A7BA"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000000" w:fill="9BBA58"/>
            <w:hideMark/>
          </w:tcPr>
          <w:p w14:paraId="19A98455"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17466ACD" w14:textId="77777777" w:rsidR="00B75705" w:rsidRPr="00B75705" w:rsidRDefault="00B75705" w:rsidP="00143708">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B75705" w:rsidRPr="00B75705" w14:paraId="0DD4DC45" w14:textId="77777777" w:rsidTr="00B75705">
        <w:trPr>
          <w:trHeight w:val="20"/>
          <w:jc w:val="center"/>
        </w:trPr>
        <w:tc>
          <w:tcPr>
            <w:tcW w:w="850" w:type="dxa"/>
            <w:tcBorders>
              <w:top w:val="nil"/>
            </w:tcBorders>
            <w:shd w:val="clear" w:color="000000" w:fill="9BBA58"/>
          </w:tcPr>
          <w:p w14:paraId="46BD19EC" w14:textId="77777777" w:rsidR="00F972E3" w:rsidRPr="00B75705" w:rsidRDefault="00F972E3" w:rsidP="00463DB2">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5F983AD0" w14:textId="77777777" w:rsidR="00FD4C74" w:rsidRPr="00B75705" w:rsidRDefault="00F972E3" w:rsidP="00463DB2">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000000" w:fill="9BBA58"/>
            <w:hideMark/>
          </w:tcPr>
          <w:p w14:paraId="6E1533B9" w14:textId="77777777" w:rsidR="00FD4C74" w:rsidRPr="00B75705" w:rsidRDefault="00FD4C74" w:rsidP="00463DB2">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000000" w:fill="9BBA58"/>
            <w:hideMark/>
          </w:tcPr>
          <w:p w14:paraId="3E6E2B34" w14:textId="77777777" w:rsidR="00FD4C74" w:rsidRPr="00B75705" w:rsidRDefault="00FD4C74" w:rsidP="00B75705">
            <w:pPr>
              <w:tabs>
                <w:tab w:val="left" w:pos="284"/>
              </w:tabs>
              <w:spacing w:after="0" w:line="240" w:lineRule="auto"/>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000000" w:fill="9BBA58"/>
            <w:hideMark/>
          </w:tcPr>
          <w:p w14:paraId="237C526B" w14:textId="77777777" w:rsidR="00FD4C74" w:rsidRPr="00B75705" w:rsidRDefault="00FD4C74" w:rsidP="00143708">
            <w:pPr>
              <w:spacing w:after="0" w:line="240" w:lineRule="auto"/>
              <w:rPr>
                <w:rFonts w:eastAsia="Times New Roman" w:cstheme="minorHAnsi"/>
                <w:b/>
                <w:bCs/>
                <w:color w:val="FFFFFF"/>
                <w:sz w:val="24"/>
                <w:szCs w:val="24"/>
                <w:lang w:eastAsia="da-DK"/>
              </w:rPr>
            </w:pPr>
          </w:p>
        </w:tc>
        <w:tc>
          <w:tcPr>
            <w:tcW w:w="5060" w:type="dxa"/>
            <w:tcBorders>
              <w:top w:val="nil"/>
            </w:tcBorders>
            <w:shd w:val="clear" w:color="000000" w:fill="9BBA58"/>
            <w:hideMark/>
          </w:tcPr>
          <w:p w14:paraId="73729541" w14:textId="77777777" w:rsidR="00FD4C74" w:rsidRPr="00B75705" w:rsidRDefault="00FD4C74" w:rsidP="00143708">
            <w:pPr>
              <w:spacing w:after="0" w:line="240" w:lineRule="auto"/>
              <w:rPr>
                <w:rFonts w:eastAsia="Times New Roman" w:cstheme="minorHAnsi"/>
                <w:b/>
                <w:bCs/>
                <w:color w:val="FFFFFF"/>
                <w:sz w:val="24"/>
                <w:szCs w:val="24"/>
                <w:lang w:eastAsia="da-DK"/>
              </w:rPr>
            </w:pPr>
          </w:p>
        </w:tc>
      </w:tr>
      <w:tr w:rsidR="00FD4C74" w:rsidRPr="00B75705" w14:paraId="11A8BC53" w14:textId="77777777" w:rsidTr="00DE0DF2">
        <w:trPr>
          <w:trHeight w:val="20"/>
          <w:jc w:val="center"/>
        </w:trPr>
        <w:tc>
          <w:tcPr>
            <w:tcW w:w="850" w:type="dxa"/>
            <w:shd w:val="clear" w:color="auto" w:fill="E2EFD9" w:themeFill="accent6" w:themeFillTint="33"/>
          </w:tcPr>
          <w:p w14:paraId="3A130E12" w14:textId="77777777" w:rsidR="00FD4C74" w:rsidRPr="00B75705" w:rsidRDefault="00F972E3" w:rsidP="00463DB2">
            <w:pPr>
              <w:spacing w:after="0" w:line="240" w:lineRule="auto"/>
              <w:jc w:val="center"/>
              <w:rPr>
                <w:rFonts w:eastAsia="Times New Roman" w:cstheme="minorHAnsi"/>
                <w:bCs/>
                <w:color w:val="000000"/>
                <w:sz w:val="24"/>
                <w:szCs w:val="24"/>
                <w:lang w:eastAsia="da-DK"/>
              </w:rPr>
            </w:pPr>
            <w:r w:rsidRPr="00B75705">
              <w:rPr>
                <w:rFonts w:eastAsia="Times New Roman" w:cstheme="minorHAnsi"/>
                <w:bCs/>
                <w:color w:val="000000"/>
                <w:sz w:val="24"/>
                <w:szCs w:val="24"/>
                <w:lang w:eastAsia="da-DK"/>
              </w:rPr>
              <w:t>1</w:t>
            </w:r>
          </w:p>
        </w:tc>
        <w:tc>
          <w:tcPr>
            <w:tcW w:w="953" w:type="dxa"/>
            <w:shd w:val="clear" w:color="auto" w:fill="E2EFD9" w:themeFill="accent6" w:themeFillTint="33"/>
            <w:noWrap/>
            <w:hideMark/>
          </w:tcPr>
          <w:p w14:paraId="080F9B90" w14:textId="3D257EDD" w:rsidR="00FD4C74" w:rsidRPr="00B75705" w:rsidRDefault="00B40CA8" w:rsidP="00463DB2">
            <w:pPr>
              <w:spacing w:after="0" w:line="240" w:lineRule="auto"/>
              <w:jc w:val="center"/>
              <w:rPr>
                <w:rFonts w:eastAsia="Times New Roman" w:cstheme="minorHAnsi"/>
                <w:bCs/>
                <w:color w:val="000000"/>
                <w:sz w:val="24"/>
                <w:szCs w:val="24"/>
                <w:lang w:eastAsia="da-DK"/>
              </w:rPr>
            </w:pPr>
            <w:r w:rsidRPr="00B40CA8">
              <w:rPr>
                <w:rFonts w:eastAsia="Times New Roman" w:cstheme="minorHAnsi"/>
                <w:sz w:val="24"/>
                <w:szCs w:val="24"/>
                <w:lang w:eastAsia="da-DK"/>
              </w:rPr>
              <w:t>6.3.3</w:t>
            </w:r>
          </w:p>
        </w:tc>
        <w:tc>
          <w:tcPr>
            <w:tcW w:w="4507" w:type="dxa"/>
            <w:shd w:val="clear" w:color="auto" w:fill="E2EFD9" w:themeFill="accent6" w:themeFillTint="33"/>
            <w:hideMark/>
          </w:tcPr>
          <w:p w14:paraId="59CFA0AD" w14:textId="6280C2B1" w:rsidR="00FD4C74" w:rsidRPr="00B75705" w:rsidRDefault="00B40CA8" w:rsidP="00143708">
            <w:pPr>
              <w:tabs>
                <w:tab w:val="left" w:pos="284"/>
              </w:tabs>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Regn</w:t>
            </w:r>
            <w:r>
              <w:rPr>
                <w:rFonts w:eastAsia="Times New Roman" w:cstheme="minorHAnsi"/>
                <w:sz w:val="24"/>
                <w:szCs w:val="24"/>
                <w:lang w:eastAsia="da-DK"/>
              </w:rPr>
              <w:t xml:space="preserve"> </w:t>
            </w:r>
            <w:r w:rsidRPr="00B40CA8">
              <w:rPr>
                <w:rFonts w:eastAsia="Times New Roman" w:cstheme="minorHAnsi"/>
                <w:sz w:val="24"/>
                <w:szCs w:val="24"/>
                <w:lang w:eastAsia="da-DK"/>
              </w:rPr>
              <w:t>modtagende areal</w:t>
            </w:r>
          </w:p>
        </w:tc>
        <w:tc>
          <w:tcPr>
            <w:tcW w:w="3939" w:type="dxa"/>
            <w:shd w:val="clear" w:color="auto" w:fill="E2EFD9" w:themeFill="accent6" w:themeFillTint="33"/>
            <w:hideMark/>
          </w:tcPr>
          <w:p w14:paraId="73571F89" w14:textId="77777777" w:rsidR="007E045E" w:rsidRDefault="007E045E" w:rsidP="007E045E">
            <w:pPr>
              <w:rPr>
                <w:i/>
                <w:iCs/>
                <w:sz w:val="24"/>
                <w:szCs w:val="24"/>
              </w:rPr>
            </w:pPr>
            <w:bookmarkStart w:id="0" w:name="_Hvornår_skal_kravene"/>
            <w:bookmarkEnd w:id="0"/>
            <w:r>
              <w:rPr>
                <w:i/>
                <w:iCs/>
                <w:sz w:val="24"/>
                <w:szCs w:val="24"/>
              </w:rPr>
              <w:t>Hvornår skal der medregnes slagregn på de vestvendte facader?</w:t>
            </w:r>
          </w:p>
          <w:p w14:paraId="0D5403FD" w14:textId="309CF644" w:rsidR="00FD4C74" w:rsidRPr="00B75705" w:rsidRDefault="00FD4C74" w:rsidP="00AE3837">
            <w:pPr>
              <w:pStyle w:val="Overskrift1"/>
            </w:pPr>
          </w:p>
        </w:tc>
        <w:tc>
          <w:tcPr>
            <w:tcW w:w="5060" w:type="dxa"/>
            <w:shd w:val="clear" w:color="auto" w:fill="E2EFD9" w:themeFill="accent6" w:themeFillTint="33"/>
            <w:hideMark/>
          </w:tcPr>
          <w:p w14:paraId="1236DC0B" w14:textId="77777777" w:rsidR="007E045E" w:rsidRDefault="007E045E" w:rsidP="007E045E">
            <w:pPr>
              <w:rPr>
                <w:sz w:val="24"/>
                <w:szCs w:val="24"/>
              </w:rPr>
            </w:pPr>
            <w:r>
              <w:rPr>
                <w:sz w:val="24"/>
                <w:szCs w:val="24"/>
              </w:rPr>
              <w:t>Det kan der ikke gives konkrete anvisninger på. Det afhænger af bygningens placering</w:t>
            </w:r>
            <w:r>
              <w:rPr>
                <w:color w:val="FF0000"/>
                <w:sz w:val="24"/>
                <w:szCs w:val="24"/>
              </w:rPr>
              <w:t xml:space="preserve">, </w:t>
            </w:r>
            <w:r>
              <w:rPr>
                <w:sz w:val="24"/>
                <w:szCs w:val="24"/>
              </w:rPr>
              <w:t>grundens befæstelse og den omkringliggende bebyggelse. Derfor er denne afgørelse op til den projekterende i det konkrete tilfælde</w:t>
            </w:r>
          </w:p>
          <w:p w14:paraId="38E05850" w14:textId="77B99B44" w:rsidR="00FD4C74" w:rsidRPr="00B75705" w:rsidRDefault="00FD4C74" w:rsidP="00143708">
            <w:pPr>
              <w:spacing w:after="0" w:line="240" w:lineRule="auto"/>
              <w:rPr>
                <w:rFonts w:eastAsia="Times New Roman" w:cstheme="minorHAnsi"/>
                <w:sz w:val="24"/>
                <w:szCs w:val="24"/>
                <w:lang w:eastAsia="da-DK"/>
              </w:rPr>
            </w:pPr>
          </w:p>
        </w:tc>
      </w:tr>
      <w:tr w:rsidR="00DE0DF2" w:rsidRPr="00B75705" w14:paraId="7608F81F" w14:textId="77777777" w:rsidTr="00B75705">
        <w:trPr>
          <w:trHeight w:val="20"/>
          <w:jc w:val="center"/>
        </w:trPr>
        <w:tc>
          <w:tcPr>
            <w:tcW w:w="850" w:type="dxa"/>
          </w:tcPr>
          <w:p w14:paraId="48B2746C" w14:textId="5F8F3E07" w:rsidR="00DE0DF2" w:rsidRPr="00B75705" w:rsidRDefault="00DE0DF2" w:rsidP="00463DB2">
            <w:pPr>
              <w:spacing w:after="0" w:line="240" w:lineRule="auto"/>
              <w:jc w:val="center"/>
              <w:rPr>
                <w:rFonts w:eastAsia="Times New Roman" w:cstheme="minorHAnsi"/>
                <w:bCs/>
                <w:color w:val="000000"/>
                <w:sz w:val="24"/>
                <w:szCs w:val="24"/>
                <w:lang w:eastAsia="da-DK"/>
              </w:rPr>
            </w:pPr>
            <w:r>
              <w:rPr>
                <w:rFonts w:eastAsia="Times New Roman" w:cstheme="minorHAnsi"/>
                <w:bCs/>
                <w:color w:val="000000"/>
                <w:sz w:val="24"/>
                <w:szCs w:val="24"/>
                <w:lang w:eastAsia="da-DK"/>
              </w:rPr>
              <w:t>2</w:t>
            </w:r>
          </w:p>
        </w:tc>
        <w:tc>
          <w:tcPr>
            <w:tcW w:w="953" w:type="dxa"/>
            <w:shd w:val="clear" w:color="auto" w:fill="auto"/>
            <w:noWrap/>
          </w:tcPr>
          <w:p w14:paraId="012929C8" w14:textId="7702C571" w:rsidR="00DE0DF2" w:rsidRPr="00B40CA8" w:rsidRDefault="00DE0DF2" w:rsidP="00463DB2">
            <w:pPr>
              <w:spacing w:after="0" w:line="240" w:lineRule="auto"/>
              <w:jc w:val="center"/>
              <w:rPr>
                <w:rFonts w:eastAsia="Times New Roman" w:cstheme="minorHAnsi"/>
                <w:sz w:val="24"/>
                <w:szCs w:val="24"/>
                <w:lang w:eastAsia="da-DK"/>
              </w:rPr>
            </w:pPr>
            <w:r w:rsidRPr="00DE0DF2">
              <w:rPr>
                <w:rFonts w:ascii="Open Sans" w:eastAsia="MS Mincho" w:hAnsi="Open Sans" w:cs="Open Sans"/>
                <w:bCs/>
                <w:lang w:eastAsia="fr-FR"/>
              </w:rPr>
              <w:t>7.1.2</w:t>
            </w:r>
          </w:p>
        </w:tc>
        <w:tc>
          <w:tcPr>
            <w:tcW w:w="4507" w:type="dxa"/>
            <w:shd w:val="clear" w:color="auto" w:fill="auto"/>
          </w:tcPr>
          <w:p w14:paraId="23348944" w14:textId="3040DAC1" w:rsidR="00DE0DF2" w:rsidRPr="00B40CA8" w:rsidRDefault="00DE0DF2" w:rsidP="00143708">
            <w:pPr>
              <w:tabs>
                <w:tab w:val="left" w:pos="284"/>
              </w:tabs>
              <w:spacing w:after="0" w:line="240" w:lineRule="auto"/>
              <w:rPr>
                <w:rFonts w:eastAsia="Times New Roman" w:cstheme="minorHAnsi"/>
                <w:sz w:val="24"/>
                <w:szCs w:val="24"/>
                <w:lang w:eastAsia="da-DK"/>
              </w:rPr>
            </w:pPr>
            <w:r w:rsidRPr="00DE0DF2">
              <w:rPr>
                <w:rFonts w:eastAsia="Times New Roman" w:cstheme="minorHAnsi"/>
                <w:sz w:val="24"/>
                <w:szCs w:val="24"/>
                <w:lang w:eastAsia="da-DK"/>
              </w:rPr>
              <w:t>Dæksler og riste</w:t>
            </w:r>
            <w:r>
              <w:rPr>
                <w:rFonts w:eastAsia="Times New Roman" w:cstheme="minorHAnsi"/>
                <w:sz w:val="24"/>
                <w:szCs w:val="24"/>
                <w:lang w:eastAsia="da-DK"/>
              </w:rPr>
              <w:t>-</w:t>
            </w:r>
            <w:r>
              <w:rPr>
                <w:rFonts w:ascii="Cambria-Bold" w:hAnsi="Cambria-Bold" w:cs="Cambria-Bold"/>
                <w:b/>
                <w:bCs/>
              </w:rPr>
              <w:t xml:space="preserve"> </w:t>
            </w:r>
            <w:r w:rsidRPr="00DE0DF2">
              <w:rPr>
                <w:rFonts w:ascii="Cambria-Bold" w:hAnsi="Cambria-Bold" w:cs="Cambria-Bold"/>
              </w:rPr>
              <w:t>Mekanisk styrke</w:t>
            </w:r>
          </w:p>
        </w:tc>
        <w:tc>
          <w:tcPr>
            <w:tcW w:w="3939" w:type="dxa"/>
            <w:shd w:val="clear" w:color="auto" w:fill="auto"/>
          </w:tcPr>
          <w:p w14:paraId="3182C49B" w14:textId="3B7626D5" w:rsidR="00DE0DF2" w:rsidRDefault="00DE0DF2" w:rsidP="007E045E">
            <w:pPr>
              <w:rPr>
                <w:i/>
                <w:iCs/>
                <w:sz w:val="24"/>
                <w:szCs w:val="24"/>
              </w:rPr>
            </w:pPr>
            <w:r w:rsidRPr="00DE0DF2">
              <w:rPr>
                <w:i/>
                <w:iCs/>
                <w:sz w:val="24"/>
                <w:szCs w:val="24"/>
              </w:rPr>
              <w:t>Må miljøvenlige dæksler af plast (styrke 1 (A)) bruges i private indkørsler?</w:t>
            </w:r>
          </w:p>
        </w:tc>
        <w:tc>
          <w:tcPr>
            <w:tcW w:w="5060" w:type="dxa"/>
            <w:shd w:val="clear" w:color="auto" w:fill="auto"/>
          </w:tcPr>
          <w:p w14:paraId="2BD17A0C" w14:textId="405D8A4B" w:rsidR="00DE0DF2" w:rsidRPr="00DE0DF2" w:rsidRDefault="00DE0DF2" w:rsidP="00DE0DF2">
            <w:pPr>
              <w:keepNext/>
              <w:tabs>
                <w:tab w:val="num" w:pos="720"/>
                <w:tab w:val="num" w:pos="1004"/>
              </w:tabs>
              <w:suppressAutoHyphens/>
              <w:spacing w:before="60" w:after="240" w:line="230" w:lineRule="exact"/>
              <w:ind w:left="658" w:hanging="658"/>
              <w:outlineLvl w:val="2"/>
              <w:rPr>
                <w:rFonts w:ascii="Open Sans" w:eastAsia="MS Mincho" w:hAnsi="Open Sans" w:cs="Open Sans"/>
                <w:lang w:eastAsia="fr-FR"/>
              </w:rPr>
            </w:pPr>
            <w:r w:rsidRPr="00DE0DF2">
              <w:rPr>
                <w:rFonts w:ascii="Open Sans" w:eastAsia="MS Mincho" w:hAnsi="Open Sans" w:cs="Open Sans"/>
                <w:i/>
                <w:iCs/>
                <w:lang w:eastAsia="fr-FR"/>
              </w:rPr>
              <w:t>Dæksler og riste skal have en sådan styrke og bæreevne, at de kan modstå den belastning, de udsættes for, og så der ikke sker personskader eller skader på afløbsinstallationen</w:t>
            </w:r>
            <w:r w:rsidRPr="00DE0DF2">
              <w:rPr>
                <w:rFonts w:ascii="Open Sans" w:eastAsia="MS Mincho" w:hAnsi="Open Sans" w:cs="Open Sans"/>
                <w:lang w:eastAsia="fr-FR"/>
              </w:rPr>
              <w:t>.</w:t>
            </w:r>
          </w:p>
          <w:p w14:paraId="1E43DE0D" w14:textId="77777777" w:rsidR="00DE0DF2" w:rsidRPr="00DE0DF2" w:rsidRDefault="00DE0DF2" w:rsidP="00DE0DF2">
            <w:pPr>
              <w:keepNext/>
              <w:tabs>
                <w:tab w:val="num" w:pos="720"/>
                <w:tab w:val="num" w:pos="1004"/>
              </w:tabs>
              <w:suppressAutoHyphens/>
              <w:spacing w:before="60" w:after="240" w:line="230" w:lineRule="exact"/>
              <w:ind w:left="658" w:hanging="658"/>
              <w:outlineLvl w:val="2"/>
              <w:rPr>
                <w:rFonts w:ascii="Open Sans" w:eastAsia="MS Mincho" w:hAnsi="Open Sans" w:cs="Open Sans"/>
                <w:bCs/>
                <w:lang w:eastAsia="fr-FR"/>
              </w:rPr>
            </w:pPr>
            <w:r w:rsidRPr="00DE0DF2">
              <w:rPr>
                <w:rFonts w:ascii="Open Sans" w:eastAsia="MS Mincho" w:hAnsi="Open Sans" w:cs="Open Sans"/>
                <w:bCs/>
                <w:lang w:eastAsia="fr-FR"/>
              </w:rPr>
              <w:t xml:space="preserve">En vejledende tabel angiver følgende  </w:t>
            </w:r>
          </w:p>
          <w:p w14:paraId="2CAA5B56" w14:textId="2AB4A3EC" w:rsidR="00DE0DF2" w:rsidRPr="00DE0DF2" w:rsidRDefault="00DE0DF2" w:rsidP="00DE0DF2">
            <w:pPr>
              <w:keepNext/>
              <w:suppressAutoHyphens/>
              <w:spacing w:before="120" w:after="120" w:line="230" w:lineRule="exact"/>
              <w:jc w:val="center"/>
              <w:rPr>
                <w:rFonts w:ascii="Open Sans" w:eastAsia="MS Mincho" w:hAnsi="Open Sans" w:cs="Open Sans"/>
                <w:bCs/>
                <w:lang w:eastAsia="fr-FR"/>
              </w:rPr>
            </w:pPr>
            <w:r w:rsidRPr="00DE0DF2">
              <w:rPr>
                <w:rFonts w:ascii="Open Sans" w:eastAsia="MS Mincho" w:hAnsi="Open Sans" w:cs="Open Sans"/>
                <w:bCs/>
                <w:lang w:val="en-GB" w:eastAsia="fr-FR"/>
              </w:rPr>
              <w:fldChar w:fldCharType="begin"/>
            </w:r>
            <w:r w:rsidRPr="00DE0DF2">
              <w:rPr>
                <w:rFonts w:ascii="Open Sans" w:eastAsia="MS Mincho" w:hAnsi="Open Sans" w:cs="Open Sans"/>
                <w:bCs/>
                <w:lang w:eastAsia="fr-FR"/>
              </w:rPr>
              <w:instrText xml:space="preserve"> IF </w:instrText>
            </w:r>
            <w:r w:rsidRPr="00DE0DF2">
              <w:rPr>
                <w:rFonts w:ascii="Open Sans" w:eastAsia="MS Mincho" w:hAnsi="Open Sans" w:cs="Open Sans"/>
                <w:bCs/>
                <w:lang w:val="en-GB" w:eastAsia="fr-FR"/>
              </w:rPr>
              <w:fldChar w:fldCharType="begin"/>
            </w:r>
            <w:r w:rsidRPr="00DE0DF2">
              <w:rPr>
                <w:rFonts w:ascii="Open Sans" w:eastAsia="MS Mincho" w:hAnsi="Open Sans" w:cs="Open Sans"/>
                <w:bCs/>
                <w:lang w:eastAsia="fr-FR"/>
              </w:rPr>
              <w:instrText xml:space="preserve">SEQ aaa \c </w:instrText>
            </w:r>
            <w:r w:rsidRPr="00DE0DF2">
              <w:rPr>
                <w:rFonts w:ascii="Open Sans" w:eastAsia="MS Mincho" w:hAnsi="Open Sans" w:cs="Open Sans"/>
                <w:bCs/>
                <w:lang w:val="en-GB" w:eastAsia="fr-FR"/>
              </w:rPr>
              <w:fldChar w:fldCharType="separate"/>
            </w:r>
            <w:r w:rsidR="00FF61DE">
              <w:rPr>
                <w:rFonts w:ascii="Open Sans" w:eastAsia="MS Mincho" w:hAnsi="Open Sans" w:cs="Open Sans"/>
                <w:bCs/>
                <w:noProof/>
                <w:lang w:eastAsia="fr-FR"/>
              </w:rPr>
              <w:instrText>0</w:instrText>
            </w:r>
            <w:r w:rsidRPr="00DE0DF2">
              <w:rPr>
                <w:rFonts w:ascii="Open Sans" w:eastAsia="MS Mincho" w:hAnsi="Open Sans" w:cs="Open Sans"/>
                <w:bCs/>
                <w:lang w:val="en-GB" w:eastAsia="fr-FR"/>
              </w:rPr>
              <w:fldChar w:fldCharType="end"/>
            </w:r>
            <w:r w:rsidRPr="00DE0DF2">
              <w:rPr>
                <w:rFonts w:ascii="Open Sans" w:eastAsia="MS Mincho" w:hAnsi="Open Sans" w:cs="Open Sans"/>
                <w:bCs/>
                <w:lang w:eastAsia="fr-FR"/>
              </w:rPr>
              <w:instrText xml:space="preserve"> &gt;= 1 "</w:instrText>
            </w:r>
            <w:r w:rsidRPr="00DE0DF2">
              <w:rPr>
                <w:rFonts w:ascii="Open Sans" w:eastAsia="MS Mincho" w:hAnsi="Open Sans" w:cs="Open Sans"/>
                <w:bCs/>
                <w:lang w:val="en-GB" w:eastAsia="fr-FR"/>
              </w:rPr>
              <w:fldChar w:fldCharType="begin"/>
            </w:r>
            <w:r w:rsidRPr="00DE0DF2">
              <w:rPr>
                <w:rFonts w:ascii="Open Sans" w:eastAsia="MS Mincho" w:hAnsi="Open Sans" w:cs="Open Sans"/>
                <w:bCs/>
                <w:lang w:eastAsia="fr-FR"/>
              </w:rPr>
              <w:instrText xml:space="preserve">SEQ aaa \c \* ALPHABETIC </w:instrText>
            </w:r>
            <w:r w:rsidRPr="00DE0DF2">
              <w:rPr>
                <w:rFonts w:ascii="Open Sans" w:eastAsia="MS Mincho" w:hAnsi="Open Sans" w:cs="Open Sans"/>
                <w:bCs/>
                <w:lang w:val="en-GB" w:eastAsia="fr-FR"/>
              </w:rPr>
              <w:fldChar w:fldCharType="separate"/>
            </w:r>
            <w:r w:rsidRPr="00DE0DF2">
              <w:rPr>
                <w:rFonts w:ascii="Open Sans" w:eastAsia="MS Mincho" w:hAnsi="Open Sans" w:cs="Open Sans"/>
                <w:bCs/>
                <w:lang w:eastAsia="fr-FR"/>
              </w:rPr>
              <w:instrText>A</w:instrText>
            </w:r>
            <w:r w:rsidRPr="00DE0DF2">
              <w:rPr>
                <w:rFonts w:ascii="Open Sans" w:eastAsia="MS Mincho" w:hAnsi="Open Sans" w:cs="Open Sans"/>
                <w:bCs/>
                <w:lang w:val="en-GB" w:eastAsia="fr-FR"/>
              </w:rPr>
              <w:fldChar w:fldCharType="end"/>
            </w:r>
            <w:r w:rsidRPr="00DE0DF2">
              <w:rPr>
                <w:rFonts w:ascii="Open Sans" w:eastAsia="MS Mincho" w:hAnsi="Open Sans" w:cs="Open Sans"/>
                <w:bCs/>
                <w:lang w:eastAsia="fr-FR"/>
              </w:rPr>
              <w:instrText xml:space="preserve">." "" </w:instrText>
            </w:r>
            <w:r w:rsidRPr="00DE0DF2">
              <w:rPr>
                <w:rFonts w:ascii="Open Sans" w:eastAsia="MS Mincho" w:hAnsi="Open Sans" w:cs="Open Sans"/>
                <w:bCs/>
                <w:lang w:val="en-GB" w:eastAsia="fr-FR"/>
              </w:rPr>
              <w:fldChar w:fldCharType="end"/>
            </w:r>
            <w:r w:rsidRPr="00DE0DF2">
              <w:rPr>
                <w:rFonts w:ascii="Open Sans" w:eastAsia="MS Mincho" w:hAnsi="Open Sans" w:cs="Open Sans"/>
                <w:bCs/>
                <w:lang w:eastAsia="fr-FR"/>
              </w:rPr>
              <w:t>Tabel 10 – Retningslinjer for valg af dæksler mv. under hensyntagen til prøvelast, jf. DS/EN 124 Serien.</w:t>
            </w:r>
          </w:p>
          <w:tbl>
            <w:tblPr>
              <w:tblStyle w:val="Tabel-Gitter"/>
              <w:tblW w:w="9640" w:type="dxa"/>
              <w:tblLook w:val="04A0" w:firstRow="1" w:lastRow="0" w:firstColumn="1" w:lastColumn="0" w:noHBand="0" w:noVBand="1"/>
            </w:tblPr>
            <w:tblGrid>
              <w:gridCol w:w="1257"/>
              <w:gridCol w:w="1720"/>
              <w:gridCol w:w="6663"/>
            </w:tblGrid>
            <w:tr w:rsidR="00DE0DF2" w:rsidRPr="00DE0DF2" w14:paraId="3ECEFA06" w14:textId="77777777" w:rsidTr="00DE0DF2">
              <w:tc>
                <w:tcPr>
                  <w:tcW w:w="1257" w:type="dxa"/>
                  <w:tcBorders>
                    <w:top w:val="single" w:sz="4" w:space="0" w:color="auto"/>
                    <w:left w:val="single" w:sz="4" w:space="0" w:color="auto"/>
                    <w:bottom w:val="single" w:sz="4" w:space="0" w:color="auto"/>
                    <w:right w:val="single" w:sz="4" w:space="0" w:color="auto"/>
                  </w:tcBorders>
                  <w:hideMark/>
                </w:tcPr>
                <w:p w14:paraId="1E7EB814" w14:textId="77777777" w:rsidR="00DE0DF2" w:rsidRPr="00FF61DE" w:rsidRDefault="00DE0DF2" w:rsidP="00DE0DF2">
                  <w:pPr>
                    <w:jc w:val="both"/>
                    <w:rPr>
                      <w:rFonts w:ascii="Open Sans" w:eastAsia="MS Mincho" w:hAnsi="Open Sans" w:cs="Open Sans"/>
                      <w:b/>
                      <w:sz w:val="20"/>
                      <w:szCs w:val="20"/>
                      <w:lang w:eastAsia="fr-FR"/>
                    </w:rPr>
                  </w:pPr>
                  <w:r w:rsidRPr="00FF61DE">
                    <w:rPr>
                      <w:rFonts w:ascii="Open Sans" w:eastAsia="MS Mincho" w:hAnsi="Open Sans" w:cs="Open Sans"/>
                      <w:b/>
                      <w:sz w:val="20"/>
                      <w:szCs w:val="20"/>
                      <w:lang w:eastAsia="fr-FR"/>
                    </w:rPr>
                    <w:t>Gruppe</w:t>
                  </w:r>
                </w:p>
              </w:tc>
              <w:tc>
                <w:tcPr>
                  <w:tcW w:w="1720" w:type="dxa"/>
                  <w:tcBorders>
                    <w:top w:val="single" w:sz="4" w:space="0" w:color="auto"/>
                    <w:left w:val="single" w:sz="4" w:space="0" w:color="auto"/>
                    <w:bottom w:val="single" w:sz="4" w:space="0" w:color="auto"/>
                    <w:right w:val="single" w:sz="4" w:space="0" w:color="auto"/>
                  </w:tcBorders>
                  <w:hideMark/>
                </w:tcPr>
                <w:p w14:paraId="7E6895D4" w14:textId="77777777" w:rsidR="00DE0DF2" w:rsidRPr="00FF61DE" w:rsidRDefault="00DE0DF2" w:rsidP="00DE0DF2">
                  <w:pPr>
                    <w:jc w:val="both"/>
                    <w:rPr>
                      <w:rFonts w:ascii="Open Sans" w:eastAsia="MS Mincho" w:hAnsi="Open Sans" w:cs="Open Sans"/>
                      <w:b/>
                      <w:sz w:val="20"/>
                      <w:szCs w:val="20"/>
                      <w:lang w:eastAsia="fr-FR"/>
                    </w:rPr>
                  </w:pPr>
                  <w:r w:rsidRPr="00FF61DE">
                    <w:rPr>
                      <w:rFonts w:ascii="Open Sans" w:eastAsia="MS Mincho" w:hAnsi="Open Sans" w:cs="Open Sans"/>
                      <w:b/>
                      <w:sz w:val="20"/>
                      <w:szCs w:val="20"/>
                      <w:lang w:eastAsia="fr-FR"/>
                    </w:rPr>
                    <w:t>Prøvelast kN</w:t>
                  </w:r>
                </w:p>
              </w:tc>
              <w:tc>
                <w:tcPr>
                  <w:tcW w:w="6663" w:type="dxa"/>
                  <w:tcBorders>
                    <w:top w:val="single" w:sz="4" w:space="0" w:color="auto"/>
                    <w:left w:val="single" w:sz="4" w:space="0" w:color="auto"/>
                    <w:bottom w:val="single" w:sz="4" w:space="0" w:color="auto"/>
                    <w:right w:val="single" w:sz="4" w:space="0" w:color="auto"/>
                  </w:tcBorders>
                  <w:hideMark/>
                </w:tcPr>
                <w:p w14:paraId="0D48D98F" w14:textId="77777777" w:rsidR="00DE0DF2" w:rsidRPr="00FF61DE" w:rsidRDefault="00DE0DF2" w:rsidP="00DE0DF2">
                  <w:pPr>
                    <w:jc w:val="both"/>
                    <w:rPr>
                      <w:rFonts w:ascii="Open Sans" w:eastAsia="MS Mincho" w:hAnsi="Open Sans" w:cs="Open Sans"/>
                      <w:b/>
                      <w:sz w:val="20"/>
                      <w:szCs w:val="20"/>
                      <w:lang w:eastAsia="fr-FR"/>
                    </w:rPr>
                  </w:pPr>
                  <w:r w:rsidRPr="00FF61DE">
                    <w:rPr>
                      <w:rFonts w:ascii="Open Sans" w:eastAsia="MS Mincho" w:hAnsi="Open Sans" w:cs="Open Sans"/>
                      <w:b/>
                      <w:sz w:val="20"/>
                      <w:szCs w:val="20"/>
                      <w:lang w:eastAsia="fr-FR"/>
                    </w:rPr>
                    <w:t>Anvendelse</w:t>
                  </w:r>
                </w:p>
              </w:tc>
            </w:tr>
            <w:tr w:rsidR="00DE0DF2" w:rsidRPr="00DE0DF2" w14:paraId="26B9BA66" w14:textId="77777777" w:rsidTr="00DE0DF2">
              <w:tc>
                <w:tcPr>
                  <w:tcW w:w="1257" w:type="dxa"/>
                  <w:tcBorders>
                    <w:top w:val="single" w:sz="4" w:space="0" w:color="auto"/>
                    <w:left w:val="single" w:sz="4" w:space="0" w:color="auto"/>
                    <w:bottom w:val="single" w:sz="4" w:space="0" w:color="auto"/>
                    <w:right w:val="single" w:sz="4" w:space="0" w:color="auto"/>
                  </w:tcBorders>
                  <w:hideMark/>
                </w:tcPr>
                <w:p w14:paraId="255A7F10" w14:textId="77777777" w:rsidR="00DE0DF2" w:rsidRPr="00FF61DE" w:rsidRDefault="00DE0DF2" w:rsidP="00DE0DF2">
                  <w:pPr>
                    <w:jc w:val="both"/>
                    <w:rPr>
                      <w:rFonts w:ascii="Open Sans" w:eastAsia="MS Mincho" w:hAnsi="Open Sans" w:cs="Open Sans"/>
                      <w:sz w:val="20"/>
                      <w:szCs w:val="20"/>
                      <w:lang w:eastAsia="fr-FR"/>
                    </w:rPr>
                  </w:pPr>
                  <w:r w:rsidRPr="00FF61DE">
                    <w:rPr>
                      <w:rFonts w:ascii="Open Sans" w:eastAsia="MS Mincho" w:hAnsi="Open Sans" w:cs="Open Sans"/>
                      <w:sz w:val="20"/>
                      <w:szCs w:val="20"/>
                      <w:lang w:eastAsia="fr-FR"/>
                    </w:rPr>
                    <w:t>1(A)</w:t>
                  </w:r>
                </w:p>
              </w:tc>
              <w:tc>
                <w:tcPr>
                  <w:tcW w:w="1720" w:type="dxa"/>
                  <w:tcBorders>
                    <w:top w:val="single" w:sz="4" w:space="0" w:color="auto"/>
                    <w:left w:val="single" w:sz="4" w:space="0" w:color="auto"/>
                    <w:bottom w:val="single" w:sz="4" w:space="0" w:color="auto"/>
                    <w:right w:val="single" w:sz="4" w:space="0" w:color="auto"/>
                  </w:tcBorders>
                  <w:hideMark/>
                </w:tcPr>
                <w:p w14:paraId="1BC95C36" w14:textId="77777777" w:rsidR="00DE0DF2" w:rsidRPr="00FF61DE" w:rsidRDefault="00DE0DF2" w:rsidP="00DE0DF2">
                  <w:pPr>
                    <w:jc w:val="both"/>
                    <w:rPr>
                      <w:rFonts w:ascii="Open Sans" w:eastAsia="MS Mincho" w:hAnsi="Open Sans" w:cs="Open Sans"/>
                      <w:sz w:val="20"/>
                      <w:szCs w:val="20"/>
                      <w:lang w:eastAsia="fr-FR"/>
                    </w:rPr>
                  </w:pPr>
                  <w:r w:rsidRPr="00FF61DE">
                    <w:rPr>
                      <w:rFonts w:ascii="Open Sans" w:eastAsia="MS Mincho" w:hAnsi="Open Sans" w:cs="Open Sans"/>
                      <w:sz w:val="20"/>
                      <w:szCs w:val="20"/>
                      <w:lang w:eastAsia="fr-FR"/>
                    </w:rPr>
                    <w:t>15</w:t>
                  </w:r>
                </w:p>
              </w:tc>
              <w:tc>
                <w:tcPr>
                  <w:tcW w:w="6663" w:type="dxa"/>
                  <w:tcBorders>
                    <w:top w:val="single" w:sz="4" w:space="0" w:color="auto"/>
                    <w:left w:val="single" w:sz="4" w:space="0" w:color="auto"/>
                    <w:bottom w:val="single" w:sz="4" w:space="0" w:color="auto"/>
                    <w:right w:val="single" w:sz="4" w:space="0" w:color="auto"/>
                  </w:tcBorders>
                  <w:hideMark/>
                </w:tcPr>
                <w:p w14:paraId="16E33D77" w14:textId="77777777" w:rsidR="00DE0DF2" w:rsidRPr="00DE0DF2" w:rsidRDefault="00DE0DF2" w:rsidP="00DE0DF2">
                  <w:pPr>
                    <w:rPr>
                      <w:rFonts w:ascii="Open Sans" w:eastAsia="MS Mincho" w:hAnsi="Open Sans" w:cs="Open Sans"/>
                      <w:sz w:val="20"/>
                      <w:szCs w:val="20"/>
                      <w:lang w:eastAsia="fr-FR"/>
                    </w:rPr>
                  </w:pPr>
                  <w:proofErr w:type="spellStart"/>
                  <w:r w:rsidRPr="00DE0DF2">
                    <w:rPr>
                      <w:rFonts w:ascii="Open Sans" w:eastAsia="MS Mincho" w:hAnsi="Open Sans" w:cs="Open Sans"/>
                      <w:sz w:val="20"/>
                      <w:szCs w:val="20"/>
                      <w:lang w:eastAsia="fr-FR"/>
                    </w:rPr>
                    <w:t>Havearealer</w:t>
                  </w:r>
                  <w:proofErr w:type="spellEnd"/>
                  <w:r w:rsidRPr="00DE0DF2">
                    <w:rPr>
                      <w:rFonts w:ascii="Open Sans" w:eastAsia="MS Mincho" w:hAnsi="Open Sans" w:cs="Open Sans"/>
                      <w:sz w:val="20"/>
                      <w:szCs w:val="20"/>
                      <w:lang w:eastAsia="fr-FR"/>
                    </w:rPr>
                    <w:t xml:space="preserve"> og færdselsarealer udelukkende for fodgængere og cyklister</w:t>
                  </w:r>
                </w:p>
              </w:tc>
            </w:tr>
          </w:tbl>
          <w:p w14:paraId="3E30AF6D" w14:textId="77777777" w:rsidR="00DE0DF2" w:rsidRPr="00DE0DF2" w:rsidRDefault="00DE0DF2" w:rsidP="00DE0DF2">
            <w:pPr>
              <w:keepNext/>
              <w:tabs>
                <w:tab w:val="num" w:pos="720"/>
                <w:tab w:val="num" w:pos="1004"/>
              </w:tabs>
              <w:suppressAutoHyphens/>
              <w:spacing w:before="60" w:after="240" w:line="230" w:lineRule="exact"/>
              <w:ind w:left="658" w:hanging="658"/>
              <w:outlineLvl w:val="2"/>
              <w:rPr>
                <w:rFonts w:ascii="Open Sans" w:eastAsia="MS Mincho" w:hAnsi="Open Sans" w:cs="Open Sans"/>
                <w:b/>
                <w:lang w:eastAsia="fr-FR"/>
              </w:rPr>
            </w:pPr>
          </w:p>
          <w:p w14:paraId="6CC6B04D" w14:textId="77777777" w:rsidR="00DE0DF2" w:rsidRPr="00DE0DF2" w:rsidRDefault="00DE0DF2" w:rsidP="00DE0DF2">
            <w:pPr>
              <w:spacing w:after="0" w:line="240" w:lineRule="auto"/>
              <w:rPr>
                <w:rFonts w:ascii="Open Sans" w:eastAsia="Calibri" w:hAnsi="Open Sans" w:cs="Open Sans"/>
              </w:rPr>
            </w:pPr>
            <w:r w:rsidRPr="00DE0DF2">
              <w:rPr>
                <w:rFonts w:ascii="Open Sans" w:eastAsia="Calibri" w:hAnsi="Open Sans" w:cs="Open Sans"/>
              </w:rPr>
              <w:t>Det er S 315’s vurdering, at indkørsler til enfamiliehuse er omfattet af de områder, hvor dæksler af gruppe 1 (A) kan anvendes. Det skal dog bemærkes, at DS 432 stiller krav om at dæksler over rense- og inspektionsbrønde skal placeres i karm.</w:t>
            </w:r>
          </w:p>
          <w:p w14:paraId="1D6673A9" w14:textId="77777777" w:rsidR="00DE0DF2" w:rsidRPr="00DE0DF2" w:rsidRDefault="00DE0DF2" w:rsidP="00DE0DF2">
            <w:pPr>
              <w:spacing w:line="256" w:lineRule="auto"/>
              <w:rPr>
                <w:rFonts w:ascii="Open Sans" w:eastAsia="Calibri" w:hAnsi="Open Sans" w:cs="Open Sans"/>
              </w:rPr>
            </w:pPr>
          </w:p>
          <w:p w14:paraId="00BD378E" w14:textId="06C1BEFF" w:rsidR="00DE0DF2" w:rsidRDefault="00DE0DF2" w:rsidP="00DE0DF2">
            <w:pPr>
              <w:rPr>
                <w:sz w:val="24"/>
                <w:szCs w:val="24"/>
              </w:rPr>
            </w:pPr>
          </w:p>
        </w:tc>
      </w:tr>
      <w:tr w:rsidR="004224C9" w:rsidRPr="00B75705" w14:paraId="6353C680" w14:textId="77777777" w:rsidTr="00C048C0">
        <w:trPr>
          <w:trHeight w:val="20"/>
          <w:jc w:val="center"/>
        </w:trPr>
        <w:tc>
          <w:tcPr>
            <w:tcW w:w="850" w:type="dxa"/>
            <w:shd w:val="clear" w:color="auto" w:fill="EAF0DD"/>
          </w:tcPr>
          <w:p w14:paraId="114D65AA" w14:textId="57E20E11" w:rsidR="004224C9" w:rsidRPr="00B75705" w:rsidRDefault="00DE0DF2" w:rsidP="004224C9">
            <w:pPr>
              <w:spacing w:after="0" w:line="240" w:lineRule="auto"/>
              <w:jc w:val="center"/>
              <w:rPr>
                <w:rFonts w:eastAsia="Times New Roman" w:cstheme="minorHAnsi"/>
                <w:bCs/>
                <w:sz w:val="24"/>
                <w:szCs w:val="24"/>
                <w:lang w:eastAsia="da-DK"/>
              </w:rPr>
            </w:pPr>
            <w:r>
              <w:rPr>
                <w:rFonts w:eastAsia="Times New Roman" w:cstheme="minorHAnsi"/>
                <w:bCs/>
                <w:sz w:val="24"/>
                <w:szCs w:val="24"/>
                <w:lang w:eastAsia="da-DK"/>
              </w:rPr>
              <w:lastRenderedPageBreak/>
              <w:br/>
            </w:r>
            <w:r w:rsidR="00083183">
              <w:rPr>
                <w:rFonts w:eastAsia="Times New Roman" w:cstheme="minorHAnsi"/>
                <w:bCs/>
                <w:sz w:val="24"/>
                <w:szCs w:val="24"/>
                <w:lang w:eastAsia="da-DK"/>
              </w:rPr>
              <w:t>3</w:t>
            </w:r>
          </w:p>
        </w:tc>
        <w:tc>
          <w:tcPr>
            <w:tcW w:w="953" w:type="dxa"/>
            <w:shd w:val="clear" w:color="auto" w:fill="EAF0DD"/>
            <w:hideMark/>
          </w:tcPr>
          <w:p w14:paraId="6141F65C" w14:textId="3BD9E230" w:rsidR="004224C9" w:rsidRPr="00B75705" w:rsidRDefault="004224C9" w:rsidP="004224C9">
            <w:pPr>
              <w:spacing w:after="0" w:line="240" w:lineRule="auto"/>
              <w:jc w:val="center"/>
              <w:rPr>
                <w:rFonts w:eastAsia="Times New Roman" w:cstheme="minorHAnsi"/>
                <w:bCs/>
                <w:sz w:val="24"/>
                <w:szCs w:val="24"/>
                <w:lang w:eastAsia="da-DK"/>
              </w:rPr>
            </w:pPr>
            <w:r w:rsidRPr="004224C9">
              <w:rPr>
                <w:rFonts w:eastAsia="Times New Roman" w:cstheme="minorHAnsi"/>
                <w:color w:val="000000"/>
                <w:sz w:val="24"/>
                <w:szCs w:val="24"/>
                <w:lang w:eastAsia="da-DK"/>
              </w:rPr>
              <w:t>7.1.3</w:t>
            </w:r>
          </w:p>
        </w:tc>
        <w:tc>
          <w:tcPr>
            <w:tcW w:w="4507" w:type="dxa"/>
            <w:shd w:val="clear" w:color="auto" w:fill="EAF0DD"/>
            <w:hideMark/>
          </w:tcPr>
          <w:p w14:paraId="3A950BD4" w14:textId="6D7C4262" w:rsidR="004224C9" w:rsidRPr="00B75705" w:rsidRDefault="004224C9" w:rsidP="004224C9">
            <w:pPr>
              <w:tabs>
                <w:tab w:val="left" w:pos="284"/>
              </w:tabs>
              <w:spacing w:after="0" w:line="240" w:lineRule="auto"/>
              <w:rPr>
                <w:rFonts w:eastAsia="Times New Roman" w:cstheme="minorHAnsi"/>
                <w:color w:val="000000"/>
                <w:sz w:val="24"/>
                <w:szCs w:val="24"/>
                <w:lang w:eastAsia="da-DK"/>
              </w:rPr>
            </w:pPr>
            <w:r w:rsidRPr="004224C9">
              <w:rPr>
                <w:rFonts w:eastAsia="Times New Roman" w:cstheme="minorHAnsi"/>
                <w:color w:val="000000"/>
                <w:sz w:val="24"/>
                <w:szCs w:val="24"/>
                <w:lang w:eastAsia="da-DK"/>
              </w:rPr>
              <w:t>Dæksler og ristes placering og montering</w:t>
            </w:r>
          </w:p>
        </w:tc>
        <w:tc>
          <w:tcPr>
            <w:tcW w:w="3939" w:type="dxa"/>
            <w:shd w:val="clear" w:color="auto" w:fill="EAF0DD"/>
            <w:hideMark/>
          </w:tcPr>
          <w:p w14:paraId="2D260E52" w14:textId="77777777" w:rsidR="00B1711E" w:rsidRDefault="00B1711E" w:rsidP="00B1711E">
            <w:pPr>
              <w:rPr>
                <w:sz w:val="24"/>
                <w:szCs w:val="24"/>
              </w:rPr>
            </w:pPr>
            <w:bookmarkStart w:id="1" w:name="_Skal_der_ved"/>
            <w:bookmarkEnd w:id="1"/>
            <w:r>
              <w:rPr>
                <w:sz w:val="24"/>
                <w:szCs w:val="24"/>
              </w:rPr>
              <w:t>DS 432 angiver en række krav til dæksler over rensebrønde, og et af disse krav er at dækslet skal ligge i karm. Betondæksler ligger normalt ikke i karm, så må de bruges i fremtiden?</w:t>
            </w:r>
          </w:p>
          <w:p w14:paraId="5D66004A" w14:textId="77777777" w:rsidR="00B1711E" w:rsidRDefault="00B1711E" w:rsidP="004224C9">
            <w:pPr>
              <w:rPr>
                <w:i/>
                <w:iCs/>
                <w:sz w:val="24"/>
                <w:szCs w:val="24"/>
              </w:rPr>
            </w:pPr>
          </w:p>
          <w:p w14:paraId="5A37BDA4" w14:textId="77777777" w:rsidR="004224C9" w:rsidRDefault="004224C9" w:rsidP="004224C9">
            <w:pPr>
              <w:rPr>
                <w:i/>
                <w:iCs/>
                <w:sz w:val="24"/>
                <w:szCs w:val="24"/>
              </w:rPr>
            </w:pPr>
          </w:p>
          <w:p w14:paraId="02F386C8" w14:textId="2B88B858" w:rsidR="004224C9" w:rsidRPr="00B75705" w:rsidRDefault="004224C9" w:rsidP="004224C9">
            <w:pPr>
              <w:pStyle w:val="Overskrift1"/>
            </w:pPr>
          </w:p>
        </w:tc>
        <w:tc>
          <w:tcPr>
            <w:tcW w:w="5060" w:type="dxa"/>
            <w:shd w:val="clear" w:color="auto" w:fill="EAF0DD"/>
            <w:hideMark/>
          </w:tcPr>
          <w:p w14:paraId="376D9F26" w14:textId="2ECB3120" w:rsidR="004224C9" w:rsidRDefault="004224C9" w:rsidP="004224C9">
            <w:pPr>
              <w:rPr>
                <w:sz w:val="24"/>
                <w:szCs w:val="24"/>
              </w:rPr>
            </w:pPr>
            <w:r>
              <w:rPr>
                <w:sz w:val="24"/>
                <w:szCs w:val="24"/>
              </w:rPr>
              <w:t>Dæksler over rensebrønde skal let kunne fjernes med korrekt løfteværktøj uden risiko for nedfald af materiale. S 315 vurderer, at betondæksler stadig kan anvendes fx i have arealer, når følgende funktionskrav er overholdt:</w:t>
            </w:r>
          </w:p>
          <w:p w14:paraId="037F3FBD" w14:textId="77777777" w:rsidR="004224C9" w:rsidRDefault="004224C9" w:rsidP="004224C9">
            <w:pPr>
              <w:pStyle w:val="Listeafsnit"/>
              <w:numPr>
                <w:ilvl w:val="0"/>
                <w:numId w:val="4"/>
              </w:numPr>
              <w:spacing w:line="256" w:lineRule="auto"/>
              <w:rPr>
                <w:sz w:val="24"/>
                <w:szCs w:val="24"/>
              </w:rPr>
            </w:pPr>
            <w:r>
              <w:rPr>
                <w:sz w:val="24"/>
                <w:szCs w:val="24"/>
              </w:rPr>
              <w:t>Der må ikke være trafiklast på dækslet</w:t>
            </w:r>
          </w:p>
          <w:p w14:paraId="43BCDB59" w14:textId="5D802940" w:rsidR="004224C9" w:rsidRDefault="004224C9" w:rsidP="004224C9">
            <w:pPr>
              <w:pStyle w:val="Listeafsnit"/>
              <w:numPr>
                <w:ilvl w:val="0"/>
                <w:numId w:val="4"/>
              </w:numPr>
              <w:spacing w:line="256" w:lineRule="auto"/>
              <w:rPr>
                <w:sz w:val="24"/>
                <w:szCs w:val="24"/>
              </w:rPr>
            </w:pPr>
            <w:r>
              <w:rPr>
                <w:sz w:val="24"/>
                <w:szCs w:val="24"/>
              </w:rPr>
              <w:t>Dækslet skal være let at åbne fx ved at dækslet anbringes</w:t>
            </w:r>
            <w:r w:rsidRPr="008662E4">
              <w:rPr>
                <w:color w:val="FF0000"/>
                <w:sz w:val="24"/>
                <w:szCs w:val="24"/>
              </w:rPr>
              <w:t xml:space="preserve"> </w:t>
            </w:r>
            <w:r>
              <w:rPr>
                <w:sz w:val="24"/>
                <w:szCs w:val="24"/>
              </w:rPr>
              <w:t>over terræn fx i et bed.</w:t>
            </w:r>
          </w:p>
          <w:p w14:paraId="3F37CD2F" w14:textId="18BB702B" w:rsidR="004224C9" w:rsidRDefault="004224C9" w:rsidP="004224C9">
            <w:pPr>
              <w:pStyle w:val="Listeafsnit"/>
              <w:numPr>
                <w:ilvl w:val="0"/>
                <w:numId w:val="4"/>
              </w:numPr>
              <w:spacing w:line="256" w:lineRule="auto"/>
              <w:rPr>
                <w:sz w:val="24"/>
                <w:szCs w:val="24"/>
              </w:rPr>
            </w:pPr>
            <w:r>
              <w:rPr>
                <w:sz w:val="24"/>
                <w:szCs w:val="24"/>
              </w:rPr>
              <w:t>Der må ikke forekomme nedfald af materiale i afløbsinstallationen, når dækslet løftes. Det kan fx klares ved at hæve dækslet</w:t>
            </w:r>
            <w:r w:rsidRPr="008662E4">
              <w:rPr>
                <w:color w:val="FF0000"/>
                <w:sz w:val="24"/>
                <w:szCs w:val="24"/>
              </w:rPr>
              <w:t xml:space="preserve"> </w:t>
            </w:r>
            <w:r>
              <w:rPr>
                <w:sz w:val="24"/>
                <w:szCs w:val="24"/>
              </w:rPr>
              <w:t>over terræn</w:t>
            </w:r>
          </w:p>
          <w:p w14:paraId="5AC75479" w14:textId="77777777" w:rsidR="004224C9" w:rsidRDefault="004224C9" w:rsidP="004224C9">
            <w:pPr>
              <w:rPr>
                <w:sz w:val="24"/>
                <w:szCs w:val="24"/>
              </w:rPr>
            </w:pPr>
            <w:r>
              <w:rPr>
                <w:sz w:val="24"/>
                <w:szCs w:val="24"/>
              </w:rPr>
              <w:t>Her nævnes, at dækslet kan hæves over terræn, men det er formentlig muligt at sikre funktionskravene på anden måde.</w:t>
            </w:r>
          </w:p>
          <w:p w14:paraId="53865410" w14:textId="1CB9069F" w:rsidR="004224C9" w:rsidRPr="00B75705" w:rsidRDefault="004224C9" w:rsidP="004224C9">
            <w:pPr>
              <w:rPr>
                <w:rFonts w:eastAsia="Times New Roman" w:cstheme="minorHAnsi"/>
                <w:sz w:val="24"/>
                <w:szCs w:val="24"/>
                <w:lang w:eastAsia="da-DK"/>
              </w:rPr>
            </w:pPr>
          </w:p>
        </w:tc>
      </w:tr>
      <w:tr w:rsidR="004224C9" w:rsidRPr="00B75705" w14:paraId="29E5DD9A" w14:textId="77777777" w:rsidTr="00B75705">
        <w:trPr>
          <w:trHeight w:val="20"/>
          <w:jc w:val="center"/>
        </w:trPr>
        <w:tc>
          <w:tcPr>
            <w:tcW w:w="850" w:type="dxa"/>
          </w:tcPr>
          <w:p w14:paraId="1FF3016E" w14:textId="0F79F8AE" w:rsidR="004224C9" w:rsidRPr="00B75705" w:rsidRDefault="00083183" w:rsidP="004224C9">
            <w:pPr>
              <w:spacing w:after="0" w:line="240" w:lineRule="auto"/>
              <w:ind w:firstLineChars="100" w:firstLine="240"/>
              <w:rPr>
                <w:rFonts w:eastAsia="Times New Roman" w:cstheme="minorHAnsi"/>
                <w:bCs/>
                <w:sz w:val="24"/>
                <w:szCs w:val="24"/>
                <w:lang w:eastAsia="da-DK"/>
              </w:rPr>
            </w:pPr>
            <w:r>
              <w:rPr>
                <w:rFonts w:eastAsia="Times New Roman" w:cstheme="minorHAnsi"/>
                <w:bCs/>
                <w:sz w:val="24"/>
                <w:szCs w:val="24"/>
                <w:lang w:eastAsia="da-DK"/>
              </w:rPr>
              <w:t>4</w:t>
            </w:r>
          </w:p>
        </w:tc>
        <w:tc>
          <w:tcPr>
            <w:tcW w:w="953" w:type="dxa"/>
            <w:shd w:val="clear" w:color="auto" w:fill="auto"/>
          </w:tcPr>
          <w:p w14:paraId="488AA623" w14:textId="30C72C2C" w:rsidR="004224C9" w:rsidRPr="00B75705" w:rsidRDefault="004224C9" w:rsidP="004224C9">
            <w:pPr>
              <w:spacing w:after="0" w:line="240" w:lineRule="auto"/>
              <w:jc w:val="center"/>
              <w:rPr>
                <w:rFonts w:eastAsia="Times New Roman" w:cstheme="minorHAnsi"/>
                <w:bCs/>
                <w:sz w:val="24"/>
                <w:szCs w:val="24"/>
                <w:lang w:eastAsia="da-DK"/>
              </w:rPr>
            </w:pPr>
            <w:r w:rsidRPr="00B40CA8">
              <w:rPr>
                <w:rFonts w:eastAsia="Times New Roman" w:cstheme="minorHAnsi"/>
                <w:color w:val="000000"/>
                <w:sz w:val="24"/>
                <w:szCs w:val="24"/>
                <w:lang w:eastAsia="da-DK"/>
              </w:rPr>
              <w:t>7.3.5</w:t>
            </w:r>
          </w:p>
        </w:tc>
        <w:tc>
          <w:tcPr>
            <w:tcW w:w="4507" w:type="dxa"/>
            <w:shd w:val="clear" w:color="auto" w:fill="auto"/>
          </w:tcPr>
          <w:p w14:paraId="0A146A01" w14:textId="530B88AF" w:rsidR="004224C9" w:rsidRPr="00B75705" w:rsidRDefault="004224C9" w:rsidP="004224C9">
            <w:pPr>
              <w:tabs>
                <w:tab w:val="left" w:pos="284"/>
              </w:tabs>
              <w:spacing w:after="0" w:line="240" w:lineRule="auto"/>
              <w:rPr>
                <w:rFonts w:eastAsia="Times New Roman" w:cstheme="minorHAnsi"/>
                <w:color w:val="000000"/>
                <w:sz w:val="24"/>
                <w:szCs w:val="24"/>
                <w:lang w:eastAsia="da-DK"/>
              </w:rPr>
            </w:pPr>
            <w:r w:rsidRPr="00B40CA8">
              <w:rPr>
                <w:rFonts w:eastAsia="Times New Roman" w:cstheme="minorHAnsi"/>
                <w:color w:val="000000"/>
                <w:sz w:val="24"/>
                <w:szCs w:val="24"/>
                <w:lang w:eastAsia="da-DK"/>
              </w:rPr>
              <w:t>Sokkelrender</w:t>
            </w:r>
          </w:p>
        </w:tc>
        <w:tc>
          <w:tcPr>
            <w:tcW w:w="3939" w:type="dxa"/>
            <w:shd w:val="clear" w:color="auto" w:fill="auto"/>
          </w:tcPr>
          <w:p w14:paraId="604FF6AC" w14:textId="77777777" w:rsidR="004224C9" w:rsidRDefault="004224C9" w:rsidP="004224C9">
            <w:pPr>
              <w:rPr>
                <w:i/>
                <w:iCs/>
                <w:sz w:val="24"/>
                <w:szCs w:val="24"/>
              </w:rPr>
            </w:pPr>
            <w:bookmarkStart w:id="2" w:name="_Skal_et_radiatorsystem"/>
            <w:bookmarkEnd w:id="2"/>
            <w:r>
              <w:rPr>
                <w:i/>
                <w:iCs/>
                <w:sz w:val="24"/>
                <w:szCs w:val="24"/>
              </w:rPr>
              <w:t>Kan en sokkelrende anvendes ved et enfamiliehus i 2 etager?</w:t>
            </w:r>
          </w:p>
          <w:p w14:paraId="76B7049D" w14:textId="77777777" w:rsidR="004224C9" w:rsidRDefault="004224C9" w:rsidP="004224C9">
            <w:pPr>
              <w:rPr>
                <w:i/>
                <w:iCs/>
                <w:sz w:val="24"/>
                <w:szCs w:val="24"/>
              </w:rPr>
            </w:pPr>
            <w:r>
              <w:rPr>
                <w:i/>
                <w:iCs/>
                <w:sz w:val="24"/>
                <w:szCs w:val="24"/>
              </w:rPr>
              <w:t xml:space="preserve">(sokkelrende er defineret i 3.58 som lineær </w:t>
            </w:r>
            <w:r>
              <w:rPr>
                <w:i/>
                <w:iCs/>
                <w:sz w:val="24"/>
                <w:szCs w:val="24"/>
              </w:rPr>
              <w:lastRenderedPageBreak/>
              <w:t>rende til beskyttelse af bygningers sokkel mod fugt fra omgivende terræn)</w:t>
            </w:r>
          </w:p>
          <w:p w14:paraId="7EC82C14" w14:textId="77777777" w:rsidR="004224C9" w:rsidRDefault="004224C9" w:rsidP="004224C9">
            <w:pPr>
              <w:rPr>
                <w:i/>
                <w:iCs/>
                <w:sz w:val="24"/>
                <w:szCs w:val="24"/>
              </w:rPr>
            </w:pPr>
          </w:p>
          <w:p w14:paraId="4C33614F" w14:textId="7C9BBF65" w:rsidR="004224C9" w:rsidRPr="00B75705" w:rsidRDefault="004224C9" w:rsidP="004224C9">
            <w:pPr>
              <w:pStyle w:val="Overskrift1"/>
            </w:pPr>
          </w:p>
        </w:tc>
        <w:tc>
          <w:tcPr>
            <w:tcW w:w="5060" w:type="dxa"/>
            <w:shd w:val="clear" w:color="auto" w:fill="auto"/>
          </w:tcPr>
          <w:p w14:paraId="3F7295B4" w14:textId="52CAE851" w:rsidR="004224C9" w:rsidRPr="00B75705" w:rsidRDefault="004224C9" w:rsidP="004224C9">
            <w:pPr>
              <w:rPr>
                <w:rFonts w:eastAsia="Times New Roman" w:cstheme="minorHAnsi"/>
                <w:sz w:val="24"/>
                <w:szCs w:val="24"/>
                <w:lang w:eastAsia="da-DK"/>
              </w:rPr>
            </w:pPr>
            <w:r>
              <w:rPr>
                <w:sz w:val="24"/>
                <w:szCs w:val="24"/>
              </w:rPr>
              <w:lastRenderedPageBreak/>
              <w:t>DS 432 angiver, at sokkelrender, der tilføres vand fra huse i en etage kan udføres uden tæt bund. Formuleringen er måske uklar, men inten</w:t>
            </w:r>
            <w:r>
              <w:rPr>
                <w:strike/>
                <w:sz w:val="24"/>
                <w:szCs w:val="24"/>
              </w:rPr>
              <w:t>s</w:t>
            </w:r>
            <w:r>
              <w:rPr>
                <w:sz w:val="24"/>
                <w:szCs w:val="24"/>
              </w:rPr>
              <w:t xml:space="preserve">ionen er, at sokkelrender rundt om enfamiliehuse eller rækkehuse kan udføres uden tæt bund. </w:t>
            </w:r>
          </w:p>
        </w:tc>
      </w:tr>
    </w:tbl>
    <w:p w14:paraId="72733429" w14:textId="040DF7A1" w:rsidR="00B75705" w:rsidRDefault="00B75705"/>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57" w:type="dxa"/>
          <w:right w:w="113" w:type="dxa"/>
        </w:tblCellMar>
        <w:tblLook w:val="04A0" w:firstRow="1" w:lastRow="0" w:firstColumn="1" w:lastColumn="0" w:noHBand="0" w:noVBand="1"/>
      </w:tblPr>
      <w:tblGrid>
        <w:gridCol w:w="850"/>
        <w:gridCol w:w="953"/>
        <w:gridCol w:w="4507"/>
        <w:gridCol w:w="3939"/>
        <w:gridCol w:w="5060"/>
      </w:tblGrid>
      <w:tr w:rsidR="004E52F2" w:rsidRPr="00B75705" w14:paraId="6CA5F1E5" w14:textId="77777777" w:rsidTr="004E52F2">
        <w:trPr>
          <w:trHeight w:val="20"/>
          <w:jc w:val="center"/>
        </w:trPr>
        <w:tc>
          <w:tcPr>
            <w:tcW w:w="850" w:type="dxa"/>
            <w:tcBorders>
              <w:bottom w:val="nil"/>
              <w:right w:val="nil"/>
            </w:tcBorders>
            <w:shd w:val="clear" w:color="auto" w:fill="9BBA58"/>
          </w:tcPr>
          <w:p w14:paraId="48A4F338" w14:textId="77777777" w:rsidR="004E52F2" w:rsidRPr="00B75705" w:rsidRDefault="004E52F2" w:rsidP="00620556">
            <w:pPr>
              <w:spacing w:after="0" w:line="240" w:lineRule="auto"/>
              <w:jc w:val="center"/>
              <w:rPr>
                <w:rFonts w:eastAsia="Times New Roman" w:cstheme="minorHAnsi"/>
                <w:b/>
                <w:bCs/>
                <w:color w:val="FFFFFF"/>
                <w:sz w:val="24"/>
                <w:szCs w:val="24"/>
                <w:lang w:eastAsia="da-DK"/>
              </w:rPr>
            </w:pPr>
          </w:p>
        </w:tc>
        <w:tc>
          <w:tcPr>
            <w:tcW w:w="5460" w:type="dxa"/>
            <w:gridSpan w:val="2"/>
            <w:shd w:val="clear" w:color="auto" w:fill="9BBA58"/>
          </w:tcPr>
          <w:p w14:paraId="7B137B97" w14:textId="08C8F3A0" w:rsidR="004E52F2" w:rsidRPr="00B75705" w:rsidRDefault="004E52F2" w:rsidP="00620556">
            <w:pPr>
              <w:tabs>
                <w:tab w:val="left" w:pos="284"/>
              </w:tabs>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Reference til DS 4</w:t>
            </w:r>
            <w:r w:rsidR="007E045E">
              <w:rPr>
                <w:rFonts w:eastAsia="Times New Roman" w:cstheme="minorHAnsi"/>
                <w:b/>
                <w:bCs/>
                <w:color w:val="FFFFFF"/>
                <w:sz w:val="24"/>
                <w:szCs w:val="24"/>
                <w:lang w:eastAsia="da-DK"/>
              </w:rPr>
              <w:t>32</w:t>
            </w:r>
            <w:r w:rsidRPr="00B75705">
              <w:rPr>
                <w:rFonts w:eastAsia="Times New Roman" w:cstheme="minorHAnsi"/>
                <w:b/>
                <w:bCs/>
                <w:color w:val="FFFFFF"/>
                <w:sz w:val="24"/>
                <w:szCs w:val="24"/>
                <w:lang w:eastAsia="da-DK"/>
              </w:rPr>
              <w:t>:20</w:t>
            </w:r>
            <w:r w:rsidR="007E045E">
              <w:rPr>
                <w:rFonts w:eastAsia="Times New Roman" w:cstheme="minorHAnsi"/>
                <w:b/>
                <w:bCs/>
                <w:color w:val="FFFFFF"/>
                <w:sz w:val="24"/>
                <w:szCs w:val="24"/>
                <w:lang w:eastAsia="da-DK"/>
              </w:rPr>
              <w:t>2</w:t>
            </w:r>
            <w:r w:rsidRPr="00B75705">
              <w:rPr>
                <w:rFonts w:eastAsia="Times New Roman" w:cstheme="minorHAnsi"/>
                <w:b/>
                <w:bCs/>
                <w:color w:val="FFFFFF"/>
                <w:sz w:val="24"/>
                <w:szCs w:val="24"/>
                <w:lang w:eastAsia="da-DK"/>
              </w:rPr>
              <w:t>1</w:t>
            </w:r>
          </w:p>
        </w:tc>
        <w:tc>
          <w:tcPr>
            <w:tcW w:w="3939" w:type="dxa"/>
            <w:tcBorders>
              <w:bottom w:val="nil"/>
            </w:tcBorders>
            <w:shd w:val="clear" w:color="auto" w:fill="9BBA58"/>
          </w:tcPr>
          <w:p w14:paraId="35793E4D"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Spørgsmål</w:t>
            </w:r>
            <w:r w:rsidRPr="00B75705">
              <w:rPr>
                <w:rFonts w:eastAsia="Times New Roman" w:cstheme="minorHAnsi"/>
                <w:b/>
                <w:bCs/>
                <w:color w:val="FFFFFF"/>
                <w:sz w:val="24"/>
                <w:szCs w:val="24"/>
                <w:lang w:eastAsia="da-DK"/>
              </w:rPr>
              <w:br w:type="page"/>
            </w:r>
          </w:p>
          <w:p w14:paraId="0757DFED"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(anonymiseret)</w:t>
            </w:r>
          </w:p>
        </w:tc>
        <w:tc>
          <w:tcPr>
            <w:tcW w:w="5060" w:type="dxa"/>
            <w:tcBorders>
              <w:bottom w:val="nil"/>
            </w:tcBorders>
            <w:shd w:val="clear" w:color="auto" w:fill="9BBA58"/>
          </w:tcPr>
          <w:p w14:paraId="5136334E"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Svar</w:t>
            </w:r>
          </w:p>
          <w:p w14:paraId="275B179F" w14:textId="77777777" w:rsidR="004E52F2" w:rsidRPr="00B75705" w:rsidRDefault="004E52F2" w:rsidP="00620556">
            <w:pPr>
              <w:spacing w:after="0" w:line="240" w:lineRule="auto"/>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br w:type="page"/>
              <w:t>(anonymiseret)</w:t>
            </w:r>
          </w:p>
        </w:tc>
      </w:tr>
      <w:tr w:rsidR="004E52F2" w:rsidRPr="00B75705" w14:paraId="680EFF3E" w14:textId="77777777" w:rsidTr="004E52F2">
        <w:trPr>
          <w:trHeight w:val="20"/>
          <w:jc w:val="center"/>
        </w:trPr>
        <w:tc>
          <w:tcPr>
            <w:tcW w:w="850" w:type="dxa"/>
            <w:tcBorders>
              <w:top w:val="nil"/>
            </w:tcBorders>
            <w:shd w:val="clear" w:color="auto" w:fill="9BBA58"/>
          </w:tcPr>
          <w:p w14:paraId="353DD4CE" w14:textId="77777777" w:rsidR="00F972E3"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ID</w:t>
            </w:r>
          </w:p>
          <w:p w14:paraId="2019AAFF" w14:textId="77777777" w:rsidR="00FD4C74" w:rsidRPr="00B75705" w:rsidRDefault="00F972E3" w:rsidP="00F972E3">
            <w:pPr>
              <w:spacing w:after="0" w:line="240" w:lineRule="auto"/>
              <w:jc w:val="center"/>
              <w:rPr>
                <w:rFonts w:eastAsia="Times New Roman" w:cstheme="minorHAnsi"/>
                <w:b/>
                <w:bCs/>
                <w:color w:val="FFFFFF"/>
                <w:sz w:val="24"/>
                <w:szCs w:val="24"/>
                <w:lang w:eastAsia="da-DK"/>
              </w:rPr>
            </w:pPr>
            <w:r w:rsidRPr="00B75705">
              <w:rPr>
                <w:rFonts w:eastAsia="Times New Roman" w:cstheme="minorHAnsi"/>
                <w:b/>
                <w:bCs/>
                <w:color w:val="FFFFFF"/>
                <w:sz w:val="24"/>
                <w:szCs w:val="24"/>
                <w:lang w:eastAsia="da-DK"/>
              </w:rPr>
              <w:t>nr.</w:t>
            </w:r>
          </w:p>
        </w:tc>
        <w:tc>
          <w:tcPr>
            <w:tcW w:w="953" w:type="dxa"/>
            <w:shd w:val="clear" w:color="auto" w:fill="9BBA58"/>
          </w:tcPr>
          <w:p w14:paraId="13C1A90B" w14:textId="77777777" w:rsidR="00FD4C74" w:rsidRPr="00B75705" w:rsidRDefault="00FD4C74" w:rsidP="00620556">
            <w:pPr>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Afsnit nr.</w:t>
            </w:r>
          </w:p>
        </w:tc>
        <w:tc>
          <w:tcPr>
            <w:tcW w:w="4507" w:type="dxa"/>
            <w:shd w:val="clear" w:color="auto" w:fill="9BBA58"/>
          </w:tcPr>
          <w:p w14:paraId="077ECB83" w14:textId="77777777" w:rsidR="00FD4C74" w:rsidRPr="00B75705" w:rsidRDefault="00FD4C74" w:rsidP="00620556">
            <w:pPr>
              <w:tabs>
                <w:tab w:val="left" w:pos="284"/>
              </w:tabs>
              <w:spacing w:after="0" w:line="240" w:lineRule="auto"/>
              <w:jc w:val="center"/>
              <w:rPr>
                <w:rFonts w:eastAsia="Times New Roman" w:cstheme="minorHAnsi"/>
                <w:b/>
                <w:bCs/>
                <w:sz w:val="24"/>
                <w:szCs w:val="24"/>
                <w:lang w:eastAsia="da-DK"/>
              </w:rPr>
            </w:pPr>
            <w:r w:rsidRPr="00B75705">
              <w:rPr>
                <w:rFonts w:eastAsia="Times New Roman" w:cstheme="minorHAnsi"/>
                <w:b/>
                <w:bCs/>
                <w:color w:val="FFFFFF"/>
                <w:sz w:val="24"/>
                <w:szCs w:val="24"/>
                <w:lang w:eastAsia="da-DK"/>
              </w:rPr>
              <w:t>Titel på afsnit</w:t>
            </w:r>
          </w:p>
        </w:tc>
        <w:tc>
          <w:tcPr>
            <w:tcW w:w="3939" w:type="dxa"/>
            <w:tcBorders>
              <w:top w:val="nil"/>
            </w:tcBorders>
            <w:shd w:val="clear" w:color="auto" w:fill="9BBA58"/>
          </w:tcPr>
          <w:p w14:paraId="26522321" w14:textId="77777777" w:rsidR="00FD4C74" w:rsidRPr="00B75705" w:rsidRDefault="00FD4C74" w:rsidP="00620556">
            <w:pPr>
              <w:spacing w:after="0" w:line="240" w:lineRule="auto"/>
              <w:rPr>
                <w:rFonts w:eastAsia="Times New Roman" w:cstheme="minorHAnsi"/>
                <w:b/>
                <w:bCs/>
                <w:color w:val="FFFFFF"/>
                <w:sz w:val="24"/>
                <w:szCs w:val="24"/>
                <w:lang w:eastAsia="da-DK"/>
              </w:rPr>
            </w:pPr>
          </w:p>
        </w:tc>
        <w:tc>
          <w:tcPr>
            <w:tcW w:w="5060" w:type="dxa"/>
            <w:tcBorders>
              <w:top w:val="nil"/>
            </w:tcBorders>
            <w:shd w:val="clear" w:color="auto" w:fill="9BBA58"/>
          </w:tcPr>
          <w:p w14:paraId="381A67DB" w14:textId="77777777" w:rsidR="00FD4C74" w:rsidRPr="00B75705" w:rsidRDefault="00FD4C74" w:rsidP="00620556">
            <w:pPr>
              <w:spacing w:after="0" w:line="240" w:lineRule="auto"/>
              <w:rPr>
                <w:rFonts w:eastAsia="Times New Roman" w:cstheme="minorHAnsi"/>
                <w:b/>
                <w:bCs/>
                <w:color w:val="FFFFFF"/>
                <w:sz w:val="24"/>
                <w:szCs w:val="24"/>
                <w:lang w:eastAsia="da-DK"/>
              </w:rPr>
            </w:pPr>
          </w:p>
        </w:tc>
      </w:tr>
      <w:tr w:rsidR="00FD4C74" w:rsidRPr="00B75705" w14:paraId="56B79850" w14:textId="77777777" w:rsidTr="007E045E">
        <w:trPr>
          <w:trHeight w:val="20"/>
          <w:jc w:val="center"/>
        </w:trPr>
        <w:tc>
          <w:tcPr>
            <w:tcW w:w="850" w:type="dxa"/>
          </w:tcPr>
          <w:p w14:paraId="2262E0B1" w14:textId="35E891E8" w:rsidR="00FD4C74" w:rsidRPr="00B75705" w:rsidRDefault="00083183" w:rsidP="00463DB2">
            <w:pPr>
              <w:spacing w:after="0" w:line="240" w:lineRule="auto"/>
              <w:ind w:firstLineChars="100" w:firstLine="240"/>
              <w:rPr>
                <w:rFonts w:eastAsia="Times New Roman" w:cstheme="minorHAnsi"/>
                <w:bCs/>
                <w:sz w:val="24"/>
                <w:szCs w:val="24"/>
                <w:lang w:eastAsia="da-DK"/>
              </w:rPr>
            </w:pPr>
            <w:r>
              <w:rPr>
                <w:rFonts w:eastAsia="Times New Roman" w:cstheme="minorHAnsi"/>
                <w:bCs/>
                <w:sz w:val="24"/>
                <w:szCs w:val="24"/>
                <w:lang w:eastAsia="da-DK"/>
              </w:rPr>
              <w:t>5</w:t>
            </w:r>
          </w:p>
        </w:tc>
        <w:tc>
          <w:tcPr>
            <w:tcW w:w="953" w:type="dxa"/>
            <w:shd w:val="clear" w:color="auto" w:fill="auto"/>
          </w:tcPr>
          <w:p w14:paraId="4652A0BF" w14:textId="67CCF428" w:rsidR="00FD4C74" w:rsidRPr="00B75705" w:rsidRDefault="0016419F" w:rsidP="00C048C0">
            <w:pPr>
              <w:spacing w:after="0" w:line="240" w:lineRule="auto"/>
              <w:jc w:val="center"/>
              <w:rPr>
                <w:rFonts w:eastAsia="Times New Roman" w:cstheme="minorHAnsi"/>
                <w:bCs/>
                <w:sz w:val="24"/>
                <w:szCs w:val="24"/>
                <w:lang w:eastAsia="da-DK"/>
              </w:rPr>
            </w:pPr>
            <w:r>
              <w:rPr>
                <w:rFonts w:eastAsia="Times New Roman" w:cstheme="minorHAnsi"/>
                <w:bCs/>
                <w:sz w:val="24"/>
                <w:szCs w:val="24"/>
                <w:lang w:eastAsia="da-DK"/>
              </w:rPr>
              <w:t>7.2.3.2</w:t>
            </w:r>
          </w:p>
        </w:tc>
        <w:tc>
          <w:tcPr>
            <w:tcW w:w="4507" w:type="dxa"/>
            <w:shd w:val="clear" w:color="auto" w:fill="auto"/>
          </w:tcPr>
          <w:p w14:paraId="6AED8CEF" w14:textId="7B1F30D0" w:rsidR="00FD4C74" w:rsidRPr="00B75705" w:rsidRDefault="0016419F" w:rsidP="00143708">
            <w:pPr>
              <w:tabs>
                <w:tab w:val="left" w:pos="284"/>
              </w:tabs>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Gulvafløb</w:t>
            </w:r>
          </w:p>
        </w:tc>
        <w:tc>
          <w:tcPr>
            <w:tcW w:w="3939" w:type="dxa"/>
            <w:shd w:val="clear" w:color="auto" w:fill="auto"/>
            <w:hideMark/>
          </w:tcPr>
          <w:p w14:paraId="014CBB77" w14:textId="77777777" w:rsidR="00E401B6" w:rsidRPr="005A4000" w:rsidRDefault="00E401B6" w:rsidP="00E401B6">
            <w:pPr>
              <w:rPr>
                <w:i/>
                <w:iCs/>
                <w:sz w:val="24"/>
                <w:szCs w:val="24"/>
              </w:rPr>
            </w:pPr>
            <w:bookmarkStart w:id="3" w:name="_Kan_gulvvarme_ikke"/>
            <w:bookmarkEnd w:id="3"/>
            <w:r w:rsidRPr="005A4000">
              <w:rPr>
                <w:i/>
                <w:iCs/>
                <w:sz w:val="24"/>
                <w:szCs w:val="24"/>
              </w:rPr>
              <w:t>Kan forhøjelsesstykke også anvendes ved renoveringsopgave?</w:t>
            </w:r>
          </w:p>
          <w:p w14:paraId="3644ACF4" w14:textId="7DBAC60C" w:rsidR="00FD4C74" w:rsidRPr="005A4000" w:rsidRDefault="00FD4C74" w:rsidP="00AE3837">
            <w:pPr>
              <w:pStyle w:val="Overskrift1"/>
            </w:pPr>
          </w:p>
        </w:tc>
        <w:tc>
          <w:tcPr>
            <w:tcW w:w="5060" w:type="dxa"/>
            <w:shd w:val="clear" w:color="auto" w:fill="auto"/>
            <w:hideMark/>
          </w:tcPr>
          <w:p w14:paraId="7276E838" w14:textId="78D1235E" w:rsidR="00FD4C74" w:rsidRPr="005A4000" w:rsidRDefault="00E401B6" w:rsidP="00143708">
            <w:pPr>
              <w:spacing w:after="0" w:line="240" w:lineRule="auto"/>
              <w:rPr>
                <w:rFonts w:eastAsia="Times New Roman" w:cstheme="minorHAnsi"/>
                <w:sz w:val="24"/>
                <w:szCs w:val="24"/>
                <w:lang w:eastAsia="da-DK"/>
              </w:rPr>
            </w:pPr>
            <w:r w:rsidRPr="005A4000">
              <w:rPr>
                <w:sz w:val="24"/>
                <w:szCs w:val="24"/>
              </w:rPr>
              <w:t>Et forhøjelsesstykke kan anvendes, når leverandøren har dokumenteret at det er kompatibelt (foreneligt) med gulvafløbsskålen eller -renden. Dette gælder også ved reparation. Forhøjelsesstykker kan således anvendes ved reparationer, når</w:t>
            </w:r>
            <w:r w:rsidR="008662E4" w:rsidRPr="005A4000">
              <w:rPr>
                <w:sz w:val="24"/>
                <w:szCs w:val="24"/>
              </w:rPr>
              <w:t xml:space="preserve"> der er dokumenteret kompatibilitet og </w:t>
            </w:r>
            <w:r w:rsidRPr="005A4000">
              <w:rPr>
                <w:sz w:val="24"/>
                <w:szCs w:val="24"/>
              </w:rPr>
              <w:t xml:space="preserve">leverandørens anvisning følges, så tæthedens sikres.   </w:t>
            </w:r>
          </w:p>
        </w:tc>
      </w:tr>
      <w:tr w:rsidR="00B75705" w:rsidRPr="00B75705" w14:paraId="7AE5B7FA" w14:textId="77777777" w:rsidTr="00C048C0">
        <w:trPr>
          <w:trHeight w:val="20"/>
          <w:jc w:val="center"/>
        </w:trPr>
        <w:tc>
          <w:tcPr>
            <w:tcW w:w="850" w:type="dxa"/>
            <w:shd w:val="clear" w:color="auto" w:fill="EAF0DD"/>
          </w:tcPr>
          <w:p w14:paraId="5C5B2B86" w14:textId="4133E48C" w:rsidR="00B75705" w:rsidRPr="00B75705" w:rsidRDefault="00083183" w:rsidP="00B75705">
            <w:pPr>
              <w:spacing w:after="0" w:line="240" w:lineRule="auto"/>
              <w:ind w:firstLineChars="100" w:firstLine="240"/>
              <w:rPr>
                <w:rFonts w:eastAsia="Times New Roman" w:cstheme="minorHAnsi"/>
                <w:bCs/>
                <w:sz w:val="24"/>
                <w:szCs w:val="24"/>
                <w:lang w:eastAsia="da-DK"/>
              </w:rPr>
            </w:pPr>
            <w:r>
              <w:rPr>
                <w:rFonts w:eastAsia="Times New Roman" w:cstheme="minorHAnsi"/>
                <w:bCs/>
                <w:sz w:val="24"/>
                <w:szCs w:val="24"/>
                <w:lang w:eastAsia="da-DK"/>
              </w:rPr>
              <w:t>6</w:t>
            </w:r>
          </w:p>
        </w:tc>
        <w:tc>
          <w:tcPr>
            <w:tcW w:w="953" w:type="dxa"/>
            <w:shd w:val="clear" w:color="auto" w:fill="EAF0DD"/>
          </w:tcPr>
          <w:p w14:paraId="30A19430" w14:textId="3DFF5E48" w:rsidR="00B75705" w:rsidRPr="0016419F" w:rsidRDefault="0016419F" w:rsidP="00C048C0">
            <w:pPr>
              <w:spacing w:after="0" w:line="240" w:lineRule="auto"/>
              <w:jc w:val="center"/>
              <w:rPr>
                <w:rFonts w:eastAsia="Times New Roman" w:cstheme="minorHAnsi"/>
                <w:bCs/>
                <w:color w:val="FF0000"/>
                <w:sz w:val="24"/>
                <w:szCs w:val="24"/>
                <w:lang w:eastAsia="da-DK"/>
              </w:rPr>
            </w:pPr>
            <w:r w:rsidRPr="0016419F">
              <w:rPr>
                <w:rFonts w:eastAsia="Times New Roman" w:cstheme="minorHAnsi"/>
                <w:bCs/>
                <w:sz w:val="24"/>
                <w:szCs w:val="24"/>
                <w:lang w:eastAsia="da-DK"/>
              </w:rPr>
              <w:t>9.8</w:t>
            </w:r>
          </w:p>
        </w:tc>
        <w:tc>
          <w:tcPr>
            <w:tcW w:w="4507" w:type="dxa"/>
            <w:shd w:val="clear" w:color="auto" w:fill="EAF0DD"/>
          </w:tcPr>
          <w:p w14:paraId="060BC93F" w14:textId="0C1B14BF" w:rsidR="00B75705" w:rsidRPr="0016419F" w:rsidRDefault="0016419F" w:rsidP="00B75705">
            <w:pPr>
              <w:tabs>
                <w:tab w:val="left" w:pos="284"/>
              </w:tabs>
              <w:spacing w:after="0" w:line="240" w:lineRule="auto"/>
              <w:rPr>
                <w:rFonts w:eastAsia="Times New Roman" w:cstheme="minorHAnsi"/>
                <w:color w:val="FF0000"/>
                <w:sz w:val="24"/>
                <w:szCs w:val="24"/>
                <w:lang w:eastAsia="da-DK"/>
              </w:rPr>
            </w:pPr>
            <w:r>
              <w:rPr>
                <w:rFonts w:eastAsia="Times New Roman" w:cstheme="minorHAnsi"/>
                <w:color w:val="000000"/>
                <w:sz w:val="24"/>
                <w:szCs w:val="24"/>
                <w:lang w:eastAsia="da-DK"/>
              </w:rPr>
              <w:t>Udluftningers placering</w:t>
            </w:r>
          </w:p>
        </w:tc>
        <w:tc>
          <w:tcPr>
            <w:tcW w:w="3939" w:type="dxa"/>
            <w:shd w:val="clear" w:color="auto" w:fill="EAF0DD"/>
          </w:tcPr>
          <w:p w14:paraId="15723A0D" w14:textId="584A0169" w:rsidR="00F723D0" w:rsidRDefault="00F723D0" w:rsidP="00F723D0">
            <w:pPr>
              <w:rPr>
                <w:i/>
                <w:iCs/>
                <w:sz w:val="24"/>
                <w:szCs w:val="24"/>
              </w:rPr>
            </w:pPr>
            <w:bookmarkStart w:id="4" w:name="_Kan_gulvvarme_anvendes"/>
            <w:bookmarkEnd w:id="4"/>
            <w:r>
              <w:rPr>
                <w:i/>
                <w:iCs/>
                <w:sz w:val="24"/>
                <w:szCs w:val="24"/>
              </w:rPr>
              <w:t xml:space="preserve">I hvilken afstand kan faldstammeudluftning over tag placeres i forhold til tagterrasse? </w:t>
            </w:r>
          </w:p>
          <w:p w14:paraId="0D343B20" w14:textId="6FDD3CCB" w:rsidR="00B75705" w:rsidRPr="00B75705" w:rsidRDefault="00B75705" w:rsidP="00AE3837">
            <w:pPr>
              <w:pStyle w:val="Overskrift1"/>
            </w:pPr>
          </w:p>
        </w:tc>
        <w:tc>
          <w:tcPr>
            <w:tcW w:w="5060" w:type="dxa"/>
            <w:shd w:val="clear" w:color="auto" w:fill="EAF0DD"/>
          </w:tcPr>
          <w:p w14:paraId="1626C3D9" w14:textId="77777777" w:rsidR="00B40CA8" w:rsidRDefault="00B40CA8" w:rsidP="00B40CA8">
            <w:pPr>
              <w:rPr>
                <w:sz w:val="24"/>
                <w:szCs w:val="24"/>
              </w:rPr>
            </w:pPr>
            <w:r>
              <w:rPr>
                <w:sz w:val="24"/>
                <w:szCs w:val="24"/>
              </w:rPr>
              <w:t xml:space="preserve">Der kan efter DS 432 ikke etableres opholdsområde fx terrasse nærmere end 3 m fra en faldstammeudluftning. Er der opholdsområde på taget, skal højden på faldstammeudluftningen være mindst 2 m over dette. </w:t>
            </w:r>
          </w:p>
          <w:p w14:paraId="27CCE7CF" w14:textId="458B902C" w:rsidR="00B75705" w:rsidRPr="00B75705" w:rsidRDefault="00B75705" w:rsidP="00B75705">
            <w:pPr>
              <w:spacing w:after="0" w:line="240" w:lineRule="auto"/>
              <w:rPr>
                <w:rFonts w:eastAsia="Times New Roman" w:cstheme="minorHAnsi"/>
                <w:sz w:val="24"/>
                <w:szCs w:val="24"/>
                <w:lang w:eastAsia="da-DK"/>
              </w:rPr>
            </w:pPr>
          </w:p>
        </w:tc>
      </w:tr>
      <w:tr w:rsidR="00B75705" w:rsidRPr="00B75705" w14:paraId="77B5D55D" w14:textId="77777777" w:rsidTr="00B75705">
        <w:trPr>
          <w:trHeight w:val="20"/>
          <w:jc w:val="center"/>
        </w:trPr>
        <w:tc>
          <w:tcPr>
            <w:tcW w:w="850" w:type="dxa"/>
          </w:tcPr>
          <w:p w14:paraId="59CFF279" w14:textId="19B6844C" w:rsidR="00B75705" w:rsidRPr="00B75705" w:rsidRDefault="00083183" w:rsidP="00B75705">
            <w:pPr>
              <w:spacing w:after="0" w:line="240" w:lineRule="auto"/>
              <w:ind w:firstLineChars="100" w:firstLine="240"/>
              <w:rPr>
                <w:rFonts w:eastAsia="Times New Roman" w:cstheme="minorHAnsi"/>
                <w:bCs/>
                <w:sz w:val="24"/>
                <w:szCs w:val="24"/>
                <w:lang w:eastAsia="da-DK"/>
              </w:rPr>
            </w:pPr>
            <w:r>
              <w:rPr>
                <w:rFonts w:eastAsia="Times New Roman" w:cstheme="minorHAnsi"/>
                <w:bCs/>
                <w:sz w:val="24"/>
                <w:szCs w:val="24"/>
                <w:lang w:eastAsia="da-DK"/>
              </w:rPr>
              <w:t>7</w:t>
            </w:r>
          </w:p>
        </w:tc>
        <w:tc>
          <w:tcPr>
            <w:tcW w:w="953" w:type="dxa"/>
            <w:shd w:val="clear" w:color="auto" w:fill="auto"/>
          </w:tcPr>
          <w:p w14:paraId="1995E127" w14:textId="352437B4" w:rsidR="00B75705" w:rsidRPr="00B75705" w:rsidRDefault="0016419F" w:rsidP="00C048C0">
            <w:pPr>
              <w:spacing w:after="0" w:line="240" w:lineRule="auto"/>
              <w:jc w:val="center"/>
              <w:rPr>
                <w:rFonts w:eastAsia="Times New Roman" w:cstheme="minorHAnsi"/>
                <w:bCs/>
                <w:sz w:val="24"/>
                <w:szCs w:val="24"/>
                <w:lang w:eastAsia="da-DK"/>
              </w:rPr>
            </w:pPr>
            <w:r>
              <w:rPr>
                <w:rFonts w:eastAsia="Times New Roman" w:cstheme="minorHAnsi"/>
                <w:bCs/>
                <w:sz w:val="24"/>
                <w:szCs w:val="24"/>
                <w:lang w:eastAsia="da-DK"/>
              </w:rPr>
              <w:t>5.4.10</w:t>
            </w:r>
          </w:p>
        </w:tc>
        <w:tc>
          <w:tcPr>
            <w:tcW w:w="4507" w:type="dxa"/>
            <w:shd w:val="clear" w:color="auto" w:fill="auto"/>
          </w:tcPr>
          <w:p w14:paraId="25EB5CCD" w14:textId="56AE3B5A" w:rsidR="00B75705" w:rsidRPr="00B75705" w:rsidRDefault="0016419F" w:rsidP="00B75705">
            <w:pPr>
              <w:tabs>
                <w:tab w:val="left" w:pos="284"/>
              </w:tabs>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Rotter</w:t>
            </w:r>
          </w:p>
        </w:tc>
        <w:tc>
          <w:tcPr>
            <w:tcW w:w="3939" w:type="dxa"/>
            <w:shd w:val="clear" w:color="auto" w:fill="auto"/>
          </w:tcPr>
          <w:p w14:paraId="5153F0D3" w14:textId="0218F913" w:rsidR="00B75705" w:rsidRPr="005A4000" w:rsidRDefault="00B40CA8" w:rsidP="00AE3837">
            <w:pPr>
              <w:pStyle w:val="Overskrift1"/>
              <w:rPr>
                <w:i/>
                <w:iCs/>
              </w:rPr>
            </w:pPr>
            <w:bookmarkStart w:id="5" w:name="_Hvornår_betragtes_et"/>
            <w:bookmarkEnd w:id="5"/>
            <w:r w:rsidRPr="005A4000">
              <w:rPr>
                <w:i/>
                <w:iCs/>
              </w:rPr>
              <w:t xml:space="preserve">En kunde skal have udskiftet et stykke af </w:t>
            </w:r>
            <w:r w:rsidR="008662E4" w:rsidRPr="005A4000">
              <w:rPr>
                <w:i/>
                <w:iCs/>
              </w:rPr>
              <w:t xml:space="preserve">sin </w:t>
            </w:r>
            <w:r w:rsidRPr="005A4000">
              <w:rPr>
                <w:i/>
                <w:iCs/>
              </w:rPr>
              <w:t>kloakledning på grunden ifm. en skade, fx fra betonrør til plastrør. Hvilke krav skal i den forbindelse opfyldes, og er der krav om særlig beskyttelse af plastrøret mod rotter.</w:t>
            </w:r>
          </w:p>
        </w:tc>
        <w:tc>
          <w:tcPr>
            <w:tcW w:w="5060" w:type="dxa"/>
            <w:shd w:val="clear" w:color="auto" w:fill="auto"/>
          </w:tcPr>
          <w:p w14:paraId="3F1EE289" w14:textId="77777777" w:rsidR="00B40CA8" w:rsidRPr="00B40CA8" w:rsidRDefault="00B40CA8" w:rsidP="00B40CA8">
            <w:pPr>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 xml:space="preserve">Afløbsinstallationer skal projekteres og udføres så rotter hindres i at trænge ud af installationerne og ind i eller under bygningerne. </w:t>
            </w:r>
          </w:p>
          <w:p w14:paraId="1EE579F6" w14:textId="77777777" w:rsidR="00B40CA8" w:rsidRPr="00B40CA8" w:rsidRDefault="00B40CA8" w:rsidP="00B40CA8">
            <w:pPr>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Der er hverken i Bygningsreglementet eller DS 432:2020 stillet specifikke krav til materialevalg i afløbsinstallationerne eller type af eventuelle rottespærrer.</w:t>
            </w:r>
          </w:p>
          <w:p w14:paraId="1C4AAC04" w14:textId="6484A430" w:rsidR="00B75705" w:rsidRPr="00B75705" w:rsidRDefault="00B40CA8" w:rsidP="00B40CA8">
            <w:pPr>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Bygningsejeren har ansvaret for overholdelse af bygningsreglementet. Hvorvidt der etableres rottesikring ved udskiftning af betonrør til plastrør, bestemmes af bygningsejeren eller kommunen som myndighed</w:t>
            </w:r>
          </w:p>
        </w:tc>
      </w:tr>
      <w:tr w:rsidR="00B75705" w:rsidRPr="00B75705" w14:paraId="6AEFA120" w14:textId="77777777" w:rsidTr="00C048C0">
        <w:trPr>
          <w:trHeight w:val="20"/>
          <w:jc w:val="center"/>
        </w:trPr>
        <w:tc>
          <w:tcPr>
            <w:tcW w:w="850" w:type="dxa"/>
            <w:shd w:val="clear" w:color="auto" w:fill="EAF0DD"/>
          </w:tcPr>
          <w:p w14:paraId="15C74EAB" w14:textId="391FE3EB" w:rsidR="00B75705" w:rsidRPr="00B75705" w:rsidRDefault="00083183" w:rsidP="00B75705">
            <w:pPr>
              <w:spacing w:after="0" w:line="240" w:lineRule="auto"/>
              <w:ind w:firstLineChars="100" w:firstLine="240"/>
              <w:rPr>
                <w:rFonts w:eastAsia="Times New Roman" w:cstheme="minorHAnsi"/>
                <w:bCs/>
                <w:sz w:val="24"/>
                <w:szCs w:val="24"/>
                <w:lang w:eastAsia="da-DK"/>
              </w:rPr>
            </w:pPr>
            <w:r>
              <w:rPr>
                <w:rFonts w:eastAsia="Times New Roman" w:cstheme="minorHAnsi"/>
                <w:bCs/>
                <w:sz w:val="24"/>
                <w:szCs w:val="24"/>
                <w:lang w:eastAsia="da-DK"/>
              </w:rPr>
              <w:t>8</w:t>
            </w:r>
          </w:p>
        </w:tc>
        <w:tc>
          <w:tcPr>
            <w:tcW w:w="953" w:type="dxa"/>
            <w:shd w:val="clear" w:color="auto" w:fill="EAF0DD"/>
          </w:tcPr>
          <w:p w14:paraId="1A21AF98" w14:textId="6874669E" w:rsidR="00B75705" w:rsidRPr="00B75705" w:rsidRDefault="005015EF" w:rsidP="00C048C0">
            <w:pPr>
              <w:spacing w:after="0" w:line="240" w:lineRule="auto"/>
              <w:jc w:val="center"/>
              <w:rPr>
                <w:rFonts w:eastAsia="Times New Roman" w:cstheme="minorHAnsi"/>
                <w:bCs/>
                <w:sz w:val="24"/>
                <w:szCs w:val="24"/>
                <w:lang w:eastAsia="da-DK"/>
              </w:rPr>
            </w:pPr>
            <w:r>
              <w:rPr>
                <w:rFonts w:eastAsia="Times New Roman" w:cstheme="minorHAnsi"/>
                <w:bCs/>
                <w:sz w:val="24"/>
                <w:szCs w:val="24"/>
                <w:lang w:eastAsia="da-DK"/>
              </w:rPr>
              <w:t>7.6.2</w:t>
            </w:r>
          </w:p>
        </w:tc>
        <w:tc>
          <w:tcPr>
            <w:tcW w:w="4507" w:type="dxa"/>
            <w:shd w:val="clear" w:color="auto" w:fill="EAF0DD"/>
          </w:tcPr>
          <w:p w14:paraId="195A19E9" w14:textId="43C882E3" w:rsidR="00B75705" w:rsidRPr="00B75705" w:rsidRDefault="005015EF" w:rsidP="00B75705">
            <w:pPr>
              <w:tabs>
                <w:tab w:val="left" w:pos="284"/>
              </w:tabs>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Højvandslukker</w:t>
            </w:r>
          </w:p>
        </w:tc>
        <w:tc>
          <w:tcPr>
            <w:tcW w:w="3939" w:type="dxa"/>
            <w:shd w:val="clear" w:color="auto" w:fill="EAF0DD"/>
          </w:tcPr>
          <w:p w14:paraId="5E143B49" w14:textId="77777777" w:rsidR="00B40CA8" w:rsidRPr="005A4000" w:rsidRDefault="00B40CA8" w:rsidP="00B40CA8">
            <w:pPr>
              <w:pStyle w:val="Overskrift1"/>
              <w:rPr>
                <w:i/>
                <w:iCs/>
              </w:rPr>
            </w:pPr>
            <w:bookmarkStart w:id="6" w:name="_Skal_gulvvarmerør_isoleres"/>
            <w:bookmarkEnd w:id="6"/>
            <w:r w:rsidRPr="005A4000">
              <w:rPr>
                <w:i/>
                <w:iCs/>
              </w:rPr>
              <w:t>En kunde skal have udskiftet et gulvafløb ifm. en skade i en kælder, hvor gulvafløbet ligger lavere end det af myndigheden højeste oplyste opstemningsniveau i hovedkloaksystemet, som typisk er lig terræn ved stikledningens tilslutning til hovedkloaksystemet.</w:t>
            </w:r>
          </w:p>
          <w:p w14:paraId="30A0C242" w14:textId="49334100" w:rsidR="00B75705" w:rsidRPr="005A4000" w:rsidRDefault="00B40CA8" w:rsidP="00B40CA8">
            <w:pPr>
              <w:pStyle w:val="Overskrift1"/>
              <w:rPr>
                <w:i/>
                <w:iCs/>
              </w:rPr>
            </w:pPr>
            <w:r w:rsidRPr="005A4000">
              <w:rPr>
                <w:i/>
                <w:iCs/>
              </w:rPr>
              <w:t>Skal det nye gulvafløb forsynes med højvandslukke for at opfylde kravene i DS 432:2020</w:t>
            </w:r>
          </w:p>
        </w:tc>
        <w:tc>
          <w:tcPr>
            <w:tcW w:w="5060" w:type="dxa"/>
            <w:shd w:val="clear" w:color="auto" w:fill="EAF0DD"/>
          </w:tcPr>
          <w:p w14:paraId="4C1CCBAD" w14:textId="77777777" w:rsidR="00D457C9" w:rsidRDefault="00D457C9" w:rsidP="00B40CA8">
            <w:pPr>
              <w:spacing w:after="0" w:line="240" w:lineRule="auto"/>
              <w:rPr>
                <w:rFonts w:eastAsia="Times New Roman" w:cstheme="minorHAnsi"/>
                <w:sz w:val="24"/>
                <w:szCs w:val="24"/>
                <w:lang w:eastAsia="da-DK"/>
              </w:rPr>
            </w:pPr>
          </w:p>
          <w:p w14:paraId="68C89BA4" w14:textId="14C45C7C" w:rsidR="00B40CA8" w:rsidRPr="00B40CA8" w:rsidRDefault="00B40CA8" w:rsidP="00B40CA8">
            <w:pPr>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 xml:space="preserve">Ved udskiftning af et gulvafløb skal det nye gulvafløb leve op til bestemmelserne i bygningsreglementet. Disse bestemmelser kan opfyldes ved at følge DS 432:2020 </w:t>
            </w:r>
          </w:p>
          <w:p w14:paraId="224923D0" w14:textId="7307E374" w:rsidR="00B75705" w:rsidRPr="00B75705" w:rsidRDefault="00B40CA8" w:rsidP="00B40CA8">
            <w:pPr>
              <w:spacing w:after="0" w:line="240" w:lineRule="auto"/>
              <w:rPr>
                <w:rFonts w:eastAsia="Times New Roman" w:cstheme="minorHAnsi"/>
                <w:sz w:val="24"/>
                <w:szCs w:val="24"/>
                <w:lang w:eastAsia="da-DK"/>
              </w:rPr>
            </w:pPr>
            <w:r w:rsidRPr="00B40CA8">
              <w:rPr>
                <w:rFonts w:eastAsia="Times New Roman" w:cstheme="minorHAnsi"/>
                <w:sz w:val="24"/>
                <w:szCs w:val="24"/>
                <w:lang w:eastAsia="da-DK"/>
              </w:rPr>
              <w:t>Bygningsejeren har ansvaret for overholdelse af bygningsreglementet. Hvorvidt der etableres højvandssikring ved udskiftning af et gulvafløb, der er placeret under højeste opstemningsniveau i hovedkloaksystemet, bestemmes af bygningsejeren eller kommunen som myndighed.</w:t>
            </w:r>
          </w:p>
        </w:tc>
      </w:tr>
      <w:tr w:rsidR="004E52F2" w:rsidRPr="00B75705" w14:paraId="40A8EB1A" w14:textId="77777777" w:rsidTr="004E52F2">
        <w:trPr>
          <w:trHeight w:val="20"/>
          <w:jc w:val="center"/>
        </w:trPr>
        <w:tc>
          <w:tcPr>
            <w:tcW w:w="850" w:type="dxa"/>
            <w:tcBorders>
              <w:bottom w:val="single" w:sz="4" w:space="0" w:color="000000"/>
            </w:tcBorders>
          </w:tcPr>
          <w:p w14:paraId="06053C2B" w14:textId="5C83D5E3" w:rsidR="004E52F2" w:rsidRPr="00B75705" w:rsidRDefault="00083183" w:rsidP="004E52F2">
            <w:pPr>
              <w:spacing w:after="0" w:line="240" w:lineRule="auto"/>
              <w:jc w:val="center"/>
              <w:rPr>
                <w:rFonts w:eastAsia="Times New Roman" w:cstheme="minorHAnsi"/>
                <w:bCs/>
                <w:sz w:val="24"/>
                <w:szCs w:val="24"/>
                <w:lang w:eastAsia="da-DK"/>
              </w:rPr>
            </w:pPr>
            <w:r>
              <w:rPr>
                <w:rFonts w:eastAsia="Times New Roman" w:cstheme="minorHAnsi"/>
                <w:bCs/>
                <w:sz w:val="24"/>
                <w:szCs w:val="24"/>
                <w:lang w:eastAsia="da-DK"/>
              </w:rPr>
              <w:t>9</w:t>
            </w:r>
          </w:p>
        </w:tc>
        <w:tc>
          <w:tcPr>
            <w:tcW w:w="953" w:type="dxa"/>
            <w:shd w:val="clear" w:color="auto" w:fill="auto"/>
          </w:tcPr>
          <w:p w14:paraId="11E1F4B2" w14:textId="4B48BFEA" w:rsidR="004E52F2" w:rsidRPr="00B75705" w:rsidRDefault="005C6132" w:rsidP="004E52F2">
            <w:pPr>
              <w:spacing w:after="0" w:line="240" w:lineRule="auto"/>
              <w:jc w:val="center"/>
              <w:rPr>
                <w:rFonts w:eastAsia="Times New Roman" w:cstheme="minorHAnsi"/>
                <w:bCs/>
                <w:sz w:val="24"/>
                <w:szCs w:val="24"/>
                <w:lang w:eastAsia="da-DK"/>
              </w:rPr>
            </w:pPr>
            <w:r w:rsidRPr="005C6132">
              <w:rPr>
                <w:rFonts w:eastAsia="Times New Roman" w:cstheme="minorHAnsi"/>
                <w:color w:val="000000"/>
                <w:sz w:val="24"/>
                <w:szCs w:val="24"/>
                <w:lang w:eastAsia="da-DK"/>
              </w:rPr>
              <w:t>7.2.12</w:t>
            </w:r>
          </w:p>
        </w:tc>
        <w:tc>
          <w:tcPr>
            <w:tcW w:w="4507" w:type="dxa"/>
            <w:shd w:val="clear" w:color="auto" w:fill="auto"/>
          </w:tcPr>
          <w:p w14:paraId="35DC82D2" w14:textId="0BEE2D33" w:rsidR="004E52F2" w:rsidRPr="00B75705" w:rsidRDefault="005C6132" w:rsidP="004E52F2">
            <w:pPr>
              <w:tabs>
                <w:tab w:val="left" w:pos="284"/>
              </w:tabs>
              <w:spacing w:after="0" w:line="240" w:lineRule="auto"/>
              <w:rPr>
                <w:rFonts w:eastAsia="Times New Roman" w:cstheme="minorHAnsi"/>
                <w:color w:val="000000"/>
                <w:sz w:val="24"/>
                <w:szCs w:val="24"/>
                <w:lang w:eastAsia="da-DK"/>
              </w:rPr>
            </w:pPr>
            <w:r w:rsidRPr="005C6132">
              <w:rPr>
                <w:rFonts w:eastAsia="Times New Roman" w:cstheme="minorHAnsi"/>
                <w:color w:val="000000"/>
                <w:sz w:val="24"/>
                <w:szCs w:val="24"/>
                <w:lang w:eastAsia="da-DK"/>
              </w:rPr>
              <w:t>Apparater med automatisk vandpåfyldning</w:t>
            </w:r>
          </w:p>
        </w:tc>
        <w:tc>
          <w:tcPr>
            <w:tcW w:w="3939" w:type="dxa"/>
            <w:shd w:val="clear" w:color="auto" w:fill="auto"/>
          </w:tcPr>
          <w:p w14:paraId="679394D1" w14:textId="28ACB2AC" w:rsidR="004E52F2" w:rsidRPr="00B75705" w:rsidRDefault="00083183" w:rsidP="00AE3837">
            <w:pPr>
              <w:pStyle w:val="Overskrift1"/>
            </w:pPr>
            <w:bookmarkStart w:id="7" w:name="_Hvis_gulvvarmen_er"/>
            <w:bookmarkEnd w:id="7"/>
            <w:r w:rsidRPr="00083183">
              <w:t>Skal der efter DS 432 etableres gulvafløb under varmtvandsbeholder eller andre installationsgenstande?</w:t>
            </w:r>
          </w:p>
        </w:tc>
        <w:tc>
          <w:tcPr>
            <w:tcW w:w="5060" w:type="dxa"/>
            <w:shd w:val="clear" w:color="auto" w:fill="auto"/>
          </w:tcPr>
          <w:p w14:paraId="6120D57D" w14:textId="77777777" w:rsidR="00083183" w:rsidRPr="00083183" w:rsidRDefault="00083183" w:rsidP="00083183">
            <w:pPr>
              <w:rPr>
                <w:rFonts w:eastAsia="Times New Roman" w:cstheme="minorHAnsi"/>
                <w:sz w:val="24"/>
                <w:szCs w:val="24"/>
                <w:lang w:eastAsia="da-DK"/>
              </w:rPr>
            </w:pPr>
            <w:r w:rsidRPr="00083183">
              <w:rPr>
                <w:rFonts w:eastAsia="Times New Roman" w:cstheme="minorHAnsi"/>
                <w:sz w:val="24"/>
                <w:szCs w:val="24"/>
                <w:lang w:eastAsia="da-DK"/>
              </w:rPr>
              <w:t xml:space="preserve">Generelt skal der etableres afløbsmulighed fra alle installationsgenstande i forhold til de normale og forudsigelige driftsforhold. Det betyder i praksis, at der ikke er krav om gulvafløb i et rum, medmindre der forventes jævnlig vandpåvirkning, eksempelvis i en brusekabine. Forventes ikke vandudstrømning fra en installationsgenstand under normal drift, vil et gulvafløb risikere at tørre ud. Der bør derfor overvejes andre metoder til sikring af passende afløbsmulighed, eksempelvis ved afløbsledning koblet på sideindløb til gulvafløb i samme rum eller med lugtlukke direkte på afløbsinstallationen.     </w:t>
            </w:r>
          </w:p>
          <w:p w14:paraId="23C110A9" w14:textId="31C79975" w:rsidR="004E52F2" w:rsidRPr="00B75705" w:rsidRDefault="004E52F2" w:rsidP="004E52F2">
            <w:pPr>
              <w:spacing w:after="0" w:line="240" w:lineRule="auto"/>
              <w:rPr>
                <w:rFonts w:eastAsia="Times New Roman" w:cstheme="minorHAnsi"/>
                <w:sz w:val="24"/>
                <w:szCs w:val="24"/>
                <w:lang w:eastAsia="da-DK"/>
              </w:rPr>
            </w:pPr>
          </w:p>
        </w:tc>
      </w:tr>
      <w:tr w:rsidR="00B40CA8" w:rsidRPr="00B75705" w14:paraId="00B5BA02" w14:textId="77777777" w:rsidTr="004E52F2">
        <w:trPr>
          <w:trHeight w:val="20"/>
          <w:jc w:val="center"/>
        </w:trPr>
        <w:tc>
          <w:tcPr>
            <w:tcW w:w="850" w:type="dxa"/>
            <w:tcBorders>
              <w:bottom w:val="single" w:sz="4" w:space="0" w:color="000000"/>
            </w:tcBorders>
          </w:tcPr>
          <w:p w14:paraId="5D27970B" w14:textId="77777777" w:rsidR="00B40CA8" w:rsidRDefault="00B40CA8" w:rsidP="004E52F2">
            <w:pPr>
              <w:spacing w:after="0" w:line="240" w:lineRule="auto"/>
              <w:jc w:val="center"/>
              <w:rPr>
                <w:rFonts w:eastAsia="Times New Roman" w:cstheme="minorHAnsi"/>
                <w:bCs/>
                <w:sz w:val="24"/>
                <w:szCs w:val="24"/>
                <w:lang w:eastAsia="da-DK"/>
              </w:rPr>
            </w:pPr>
          </w:p>
          <w:p w14:paraId="20231B2A" w14:textId="77777777" w:rsidR="00B40CA8" w:rsidRDefault="00B40CA8" w:rsidP="004E52F2">
            <w:pPr>
              <w:spacing w:after="0" w:line="240" w:lineRule="auto"/>
              <w:jc w:val="center"/>
              <w:rPr>
                <w:rFonts w:eastAsia="Times New Roman" w:cstheme="minorHAnsi"/>
                <w:bCs/>
                <w:sz w:val="24"/>
                <w:szCs w:val="24"/>
                <w:lang w:eastAsia="da-DK"/>
              </w:rPr>
            </w:pPr>
          </w:p>
          <w:p w14:paraId="0F4DCAF2" w14:textId="77777777" w:rsidR="00B40CA8" w:rsidRDefault="00B40CA8" w:rsidP="004E52F2">
            <w:pPr>
              <w:spacing w:after="0" w:line="240" w:lineRule="auto"/>
              <w:jc w:val="center"/>
              <w:rPr>
                <w:rFonts w:eastAsia="Times New Roman" w:cstheme="minorHAnsi"/>
                <w:bCs/>
                <w:sz w:val="24"/>
                <w:szCs w:val="24"/>
                <w:lang w:eastAsia="da-DK"/>
              </w:rPr>
            </w:pPr>
          </w:p>
          <w:p w14:paraId="68C522FF" w14:textId="77777777" w:rsidR="00B40CA8" w:rsidRDefault="00B40CA8" w:rsidP="004E52F2">
            <w:pPr>
              <w:spacing w:after="0" w:line="240" w:lineRule="auto"/>
              <w:jc w:val="center"/>
              <w:rPr>
                <w:rFonts w:eastAsia="Times New Roman" w:cstheme="minorHAnsi"/>
                <w:bCs/>
                <w:sz w:val="24"/>
                <w:szCs w:val="24"/>
                <w:lang w:eastAsia="da-DK"/>
              </w:rPr>
            </w:pPr>
          </w:p>
          <w:p w14:paraId="06558A0C" w14:textId="366F5964" w:rsidR="00B40CA8" w:rsidRPr="00B75705" w:rsidRDefault="00B40CA8" w:rsidP="004E52F2">
            <w:pPr>
              <w:spacing w:after="0" w:line="240" w:lineRule="auto"/>
              <w:jc w:val="center"/>
              <w:rPr>
                <w:rFonts w:eastAsia="Times New Roman" w:cstheme="minorHAnsi"/>
                <w:bCs/>
                <w:sz w:val="24"/>
                <w:szCs w:val="24"/>
                <w:lang w:eastAsia="da-DK"/>
              </w:rPr>
            </w:pPr>
          </w:p>
        </w:tc>
        <w:tc>
          <w:tcPr>
            <w:tcW w:w="953" w:type="dxa"/>
            <w:shd w:val="clear" w:color="auto" w:fill="auto"/>
          </w:tcPr>
          <w:p w14:paraId="1A9DB1CC" w14:textId="77777777" w:rsidR="00B40CA8" w:rsidRPr="00B75705" w:rsidRDefault="00B40CA8" w:rsidP="004E52F2">
            <w:pPr>
              <w:spacing w:after="0" w:line="240" w:lineRule="auto"/>
              <w:jc w:val="center"/>
              <w:rPr>
                <w:rFonts w:eastAsia="Times New Roman" w:cstheme="minorHAnsi"/>
                <w:bCs/>
                <w:sz w:val="24"/>
                <w:szCs w:val="24"/>
                <w:lang w:eastAsia="da-DK"/>
              </w:rPr>
            </w:pPr>
          </w:p>
        </w:tc>
        <w:tc>
          <w:tcPr>
            <w:tcW w:w="4507" w:type="dxa"/>
            <w:shd w:val="clear" w:color="auto" w:fill="auto"/>
          </w:tcPr>
          <w:p w14:paraId="2EBAA4DE" w14:textId="77777777" w:rsidR="00B40CA8" w:rsidRPr="00B75705" w:rsidRDefault="00B40CA8" w:rsidP="004E52F2">
            <w:pPr>
              <w:tabs>
                <w:tab w:val="left" w:pos="284"/>
              </w:tabs>
              <w:spacing w:after="0" w:line="240" w:lineRule="auto"/>
              <w:rPr>
                <w:rFonts w:eastAsia="Times New Roman" w:cstheme="minorHAnsi"/>
                <w:color w:val="000000"/>
                <w:sz w:val="24"/>
                <w:szCs w:val="24"/>
                <w:lang w:eastAsia="da-DK"/>
              </w:rPr>
            </w:pPr>
          </w:p>
        </w:tc>
        <w:tc>
          <w:tcPr>
            <w:tcW w:w="3939" w:type="dxa"/>
            <w:shd w:val="clear" w:color="auto" w:fill="auto"/>
          </w:tcPr>
          <w:p w14:paraId="4953B69C" w14:textId="77777777" w:rsidR="00B40CA8" w:rsidRPr="00B75705" w:rsidRDefault="00B40CA8" w:rsidP="00AE3837">
            <w:pPr>
              <w:pStyle w:val="Overskrift1"/>
            </w:pPr>
          </w:p>
        </w:tc>
        <w:tc>
          <w:tcPr>
            <w:tcW w:w="5060" w:type="dxa"/>
            <w:shd w:val="clear" w:color="auto" w:fill="auto"/>
          </w:tcPr>
          <w:p w14:paraId="2B914FF8" w14:textId="77777777" w:rsidR="00B40CA8" w:rsidRPr="00B75705" w:rsidRDefault="00B40CA8" w:rsidP="004E52F2">
            <w:pPr>
              <w:spacing w:after="0" w:line="240" w:lineRule="auto"/>
              <w:rPr>
                <w:rFonts w:eastAsia="Times New Roman" w:cstheme="minorHAnsi"/>
                <w:sz w:val="24"/>
                <w:szCs w:val="24"/>
                <w:lang w:eastAsia="da-DK"/>
              </w:rPr>
            </w:pPr>
          </w:p>
        </w:tc>
      </w:tr>
    </w:tbl>
    <w:p w14:paraId="19834DE1" w14:textId="77777777" w:rsidR="00DD3228" w:rsidRDefault="00DD3228">
      <w:pPr>
        <w:rPr>
          <w:rFonts w:ascii="Georgia" w:hAnsi="Georgia"/>
        </w:rPr>
      </w:pPr>
    </w:p>
    <w:p w14:paraId="5D4F66AF" w14:textId="77777777" w:rsidR="00DD3228" w:rsidRDefault="00DD3228" w:rsidP="00DD3228">
      <w:pPr>
        <w:rPr>
          <w:b/>
          <w:bCs/>
          <w:sz w:val="36"/>
          <w:szCs w:val="36"/>
        </w:rPr>
      </w:pPr>
    </w:p>
    <w:sectPr w:rsidR="00DD3228" w:rsidSect="00CD5352">
      <w:headerReference w:type="default" r:id="rId8"/>
      <w:footerReference w:type="default" r:id="rId9"/>
      <w:pgSz w:w="16838" w:h="11906" w:orient="landscape" w:code="9"/>
      <w:pgMar w:top="1134" w:right="851" w:bottom="851"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1040" w14:textId="77777777" w:rsidR="00EB691F" w:rsidRDefault="00EB691F" w:rsidP="00E04AD2">
      <w:pPr>
        <w:spacing w:after="0" w:line="240" w:lineRule="auto"/>
      </w:pPr>
      <w:r>
        <w:separator/>
      </w:r>
    </w:p>
  </w:endnote>
  <w:endnote w:type="continuationSeparator" w:id="0">
    <w:p w14:paraId="58D33945" w14:textId="77777777" w:rsidR="00EB691F" w:rsidRDefault="00EB691F" w:rsidP="00E0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191B" w14:textId="53A53F1A" w:rsidR="00E04AD2" w:rsidRDefault="00E04AD2">
    <w:pPr>
      <w:pStyle w:val="Sidefod"/>
      <w:jc w:val="right"/>
    </w:pPr>
    <w:r>
      <w:t xml:space="preserve">Side </w:t>
    </w:r>
    <w:sdt>
      <w:sdtPr>
        <w:id w:val="-482237854"/>
        <w:docPartObj>
          <w:docPartGallery w:val="Page Numbers (Bottom of Page)"/>
          <w:docPartUnique/>
        </w:docPartObj>
      </w:sdtPr>
      <w:sdtEndPr/>
      <w:sdtContent>
        <w:r>
          <w:fldChar w:fldCharType="begin"/>
        </w:r>
        <w:r>
          <w:instrText>PAGE   \* MERGEFORMAT</w:instrText>
        </w:r>
        <w:r>
          <w:fldChar w:fldCharType="separate"/>
        </w:r>
        <w:r w:rsidR="008A170C">
          <w:rPr>
            <w:noProof/>
          </w:rPr>
          <w:t>8</w:t>
        </w:r>
        <w:r>
          <w:fldChar w:fldCharType="end"/>
        </w:r>
        <w:r>
          <w:t xml:space="preserve"> af </w:t>
        </w:r>
        <w:r w:rsidR="004224C9">
          <w:t>5</w:t>
        </w:r>
      </w:sdtContent>
    </w:sdt>
  </w:p>
  <w:p w14:paraId="4CBB0C41" w14:textId="77777777" w:rsidR="00E04AD2" w:rsidRDefault="00E04AD2" w:rsidP="00E04AD2">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D902" w14:textId="77777777" w:rsidR="00EB691F" w:rsidRDefault="00EB691F" w:rsidP="00E04AD2">
      <w:pPr>
        <w:spacing w:after="0" w:line="240" w:lineRule="auto"/>
      </w:pPr>
      <w:r>
        <w:separator/>
      </w:r>
    </w:p>
  </w:footnote>
  <w:footnote w:type="continuationSeparator" w:id="0">
    <w:p w14:paraId="565AE3C1" w14:textId="77777777" w:rsidR="00EB691F" w:rsidRDefault="00EB691F" w:rsidP="00E0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7A64" w14:textId="77777777" w:rsidR="00463DB2" w:rsidRDefault="00463DB2" w:rsidP="00463DB2">
    <w:pPr>
      <w:pStyle w:val="Sidehoved"/>
      <w:jc w:val="right"/>
    </w:pPr>
    <w:r>
      <w:rPr>
        <w:noProof/>
        <w:lang w:eastAsia="da-DK"/>
      </w:rPr>
      <w:drawing>
        <wp:inline distT="0" distB="0" distL="0" distR="0" wp14:anchorId="4F85707E" wp14:editId="4D396DEF">
          <wp:extent cx="952500" cy="571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jpg"/>
                  <pic:cNvPicPr/>
                </pic:nvPicPr>
                <pic:blipFill>
                  <a:blip r:embed="rId1">
                    <a:extLst>
                      <a:ext uri="{28A0092B-C50C-407E-A947-70E740481C1C}">
                        <a14:useLocalDpi xmlns:a14="http://schemas.microsoft.com/office/drawing/2010/main" val="0"/>
                      </a:ext>
                    </a:extLst>
                  </a:blip>
                  <a:stretch>
                    <a:fillRect/>
                  </a:stretch>
                </pic:blipFill>
                <pic:spPr>
                  <a:xfrm>
                    <a:off x="0" y="0"/>
                    <a:ext cx="952500" cy="571500"/>
                  </a:xfrm>
                  <a:prstGeom prst="rect">
                    <a:avLst/>
                  </a:prstGeom>
                </pic:spPr>
              </pic:pic>
            </a:graphicData>
          </a:graphic>
        </wp:inline>
      </w:drawing>
    </w:r>
  </w:p>
  <w:p w14:paraId="07B22E04" w14:textId="77777777" w:rsidR="00463DB2" w:rsidRDefault="00463D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0906"/>
    <w:multiLevelType w:val="hybridMultilevel"/>
    <w:tmpl w:val="9ABE13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7E62DC3"/>
    <w:multiLevelType w:val="hybridMultilevel"/>
    <w:tmpl w:val="79B24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4F582F"/>
    <w:multiLevelType w:val="hybridMultilevel"/>
    <w:tmpl w:val="797635EA"/>
    <w:lvl w:ilvl="0" w:tplc="7F22AE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244339"/>
    <w:multiLevelType w:val="hybridMultilevel"/>
    <w:tmpl w:val="5DF27FA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D2"/>
    <w:rsid w:val="00083183"/>
    <w:rsid w:val="00083E17"/>
    <w:rsid w:val="00143708"/>
    <w:rsid w:val="0016419F"/>
    <w:rsid w:val="00192ABB"/>
    <w:rsid w:val="001A2C88"/>
    <w:rsid w:val="002B24CB"/>
    <w:rsid w:val="002D2454"/>
    <w:rsid w:val="002F5754"/>
    <w:rsid w:val="003F0743"/>
    <w:rsid w:val="004224C9"/>
    <w:rsid w:val="00457A1D"/>
    <w:rsid w:val="00463DB2"/>
    <w:rsid w:val="004763B3"/>
    <w:rsid w:val="004E52F2"/>
    <w:rsid w:val="005015EF"/>
    <w:rsid w:val="0050739D"/>
    <w:rsid w:val="00526F68"/>
    <w:rsid w:val="005A4000"/>
    <w:rsid w:val="005C6132"/>
    <w:rsid w:val="005F0A5A"/>
    <w:rsid w:val="00620556"/>
    <w:rsid w:val="00646581"/>
    <w:rsid w:val="00664AD7"/>
    <w:rsid w:val="007E045E"/>
    <w:rsid w:val="008662E4"/>
    <w:rsid w:val="00890244"/>
    <w:rsid w:val="008A170C"/>
    <w:rsid w:val="008A1B95"/>
    <w:rsid w:val="009C2FA5"/>
    <w:rsid w:val="00A32EE9"/>
    <w:rsid w:val="00A50ABB"/>
    <w:rsid w:val="00A9324F"/>
    <w:rsid w:val="00AD21A2"/>
    <w:rsid w:val="00AE3837"/>
    <w:rsid w:val="00B1711E"/>
    <w:rsid w:val="00B40CA8"/>
    <w:rsid w:val="00B75705"/>
    <w:rsid w:val="00BC6597"/>
    <w:rsid w:val="00BD03C9"/>
    <w:rsid w:val="00C048C0"/>
    <w:rsid w:val="00CD5352"/>
    <w:rsid w:val="00D457C9"/>
    <w:rsid w:val="00DD3228"/>
    <w:rsid w:val="00DE0DF2"/>
    <w:rsid w:val="00DE3955"/>
    <w:rsid w:val="00E04AD2"/>
    <w:rsid w:val="00E401B6"/>
    <w:rsid w:val="00EB691F"/>
    <w:rsid w:val="00F3596D"/>
    <w:rsid w:val="00F63B77"/>
    <w:rsid w:val="00F723D0"/>
    <w:rsid w:val="00F972E3"/>
    <w:rsid w:val="00FD4C74"/>
    <w:rsid w:val="00FE6416"/>
    <w:rsid w:val="00FF61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6C6C2"/>
  <w15:chartTrackingRefBased/>
  <w15:docId w15:val="{82D44F64-AA9E-463F-9777-85B64B78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E3837"/>
    <w:pPr>
      <w:spacing w:after="0" w:line="240" w:lineRule="auto"/>
      <w:outlineLvl w:val="0"/>
    </w:pPr>
    <w:rPr>
      <w:rFonts w:eastAsia="Times New Roman" w:cstheme="minorHAnsi"/>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04A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4AD2"/>
  </w:style>
  <w:style w:type="paragraph" w:styleId="Sidefod">
    <w:name w:val="footer"/>
    <w:basedOn w:val="Normal"/>
    <w:link w:val="SidefodTegn"/>
    <w:uiPriority w:val="99"/>
    <w:unhideWhenUsed/>
    <w:rsid w:val="00E04A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4AD2"/>
  </w:style>
  <w:style w:type="paragraph" w:styleId="Listeafsnit">
    <w:name w:val="List Paragraph"/>
    <w:basedOn w:val="Normal"/>
    <w:uiPriority w:val="34"/>
    <w:qFormat/>
    <w:rsid w:val="008A1B95"/>
    <w:pPr>
      <w:ind w:left="720"/>
      <w:contextualSpacing/>
    </w:pPr>
  </w:style>
  <w:style w:type="character" w:customStyle="1" w:styleId="Overskrift1Tegn">
    <w:name w:val="Overskrift 1 Tegn"/>
    <w:basedOn w:val="Standardskrifttypeiafsnit"/>
    <w:link w:val="Overskrift1"/>
    <w:uiPriority w:val="9"/>
    <w:rsid w:val="00AE3837"/>
    <w:rPr>
      <w:rFonts w:eastAsia="Times New Roman" w:cstheme="minorHAnsi"/>
      <w:sz w:val="24"/>
      <w:szCs w:val="24"/>
      <w:lang w:eastAsia="da-DK"/>
    </w:rPr>
  </w:style>
  <w:style w:type="character" w:styleId="Hyperlink">
    <w:name w:val="Hyperlink"/>
    <w:basedOn w:val="Standardskrifttypeiafsnit"/>
    <w:uiPriority w:val="99"/>
    <w:unhideWhenUsed/>
    <w:rsid w:val="00664AD7"/>
    <w:rPr>
      <w:color w:val="0563C1" w:themeColor="hyperlink"/>
      <w:u w:val="single"/>
    </w:rPr>
  </w:style>
  <w:style w:type="character" w:styleId="BesgtLink">
    <w:name w:val="FollowedHyperlink"/>
    <w:basedOn w:val="Standardskrifttypeiafsnit"/>
    <w:uiPriority w:val="99"/>
    <w:semiHidden/>
    <w:unhideWhenUsed/>
    <w:rsid w:val="00664AD7"/>
    <w:rPr>
      <w:color w:val="954F72" w:themeColor="followedHyperlink"/>
      <w:u w:val="single"/>
    </w:rPr>
  </w:style>
  <w:style w:type="paragraph" w:styleId="Markeringsbobletekst">
    <w:name w:val="Balloon Text"/>
    <w:basedOn w:val="Normal"/>
    <w:link w:val="MarkeringsbobletekstTegn"/>
    <w:uiPriority w:val="99"/>
    <w:semiHidden/>
    <w:unhideWhenUsed/>
    <w:rsid w:val="00FD4C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4C74"/>
    <w:rPr>
      <w:rFonts w:ascii="Segoe UI" w:hAnsi="Segoe UI" w:cs="Segoe UI"/>
      <w:sz w:val="18"/>
      <w:szCs w:val="18"/>
    </w:rPr>
  </w:style>
  <w:style w:type="table" w:styleId="Tabel-Gitter">
    <w:name w:val="Table Grid"/>
    <w:basedOn w:val="Tabel-Normal"/>
    <w:uiPriority w:val="39"/>
    <w:rsid w:val="00DE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3">
      <w:bodyDiv w:val="1"/>
      <w:marLeft w:val="0"/>
      <w:marRight w:val="0"/>
      <w:marTop w:val="0"/>
      <w:marBottom w:val="0"/>
      <w:divBdr>
        <w:top w:val="none" w:sz="0" w:space="0" w:color="auto"/>
        <w:left w:val="none" w:sz="0" w:space="0" w:color="auto"/>
        <w:bottom w:val="none" w:sz="0" w:space="0" w:color="auto"/>
        <w:right w:val="none" w:sz="0" w:space="0" w:color="auto"/>
      </w:divBdr>
    </w:div>
    <w:div w:id="30229944">
      <w:bodyDiv w:val="1"/>
      <w:marLeft w:val="0"/>
      <w:marRight w:val="0"/>
      <w:marTop w:val="0"/>
      <w:marBottom w:val="0"/>
      <w:divBdr>
        <w:top w:val="none" w:sz="0" w:space="0" w:color="auto"/>
        <w:left w:val="none" w:sz="0" w:space="0" w:color="auto"/>
        <w:bottom w:val="none" w:sz="0" w:space="0" w:color="auto"/>
        <w:right w:val="none" w:sz="0" w:space="0" w:color="auto"/>
      </w:divBdr>
    </w:div>
    <w:div w:id="42294509">
      <w:bodyDiv w:val="1"/>
      <w:marLeft w:val="0"/>
      <w:marRight w:val="0"/>
      <w:marTop w:val="0"/>
      <w:marBottom w:val="0"/>
      <w:divBdr>
        <w:top w:val="none" w:sz="0" w:space="0" w:color="auto"/>
        <w:left w:val="none" w:sz="0" w:space="0" w:color="auto"/>
        <w:bottom w:val="none" w:sz="0" w:space="0" w:color="auto"/>
        <w:right w:val="none" w:sz="0" w:space="0" w:color="auto"/>
      </w:divBdr>
    </w:div>
    <w:div w:id="183637442">
      <w:bodyDiv w:val="1"/>
      <w:marLeft w:val="0"/>
      <w:marRight w:val="0"/>
      <w:marTop w:val="0"/>
      <w:marBottom w:val="0"/>
      <w:divBdr>
        <w:top w:val="none" w:sz="0" w:space="0" w:color="auto"/>
        <w:left w:val="none" w:sz="0" w:space="0" w:color="auto"/>
        <w:bottom w:val="none" w:sz="0" w:space="0" w:color="auto"/>
        <w:right w:val="none" w:sz="0" w:space="0" w:color="auto"/>
      </w:divBdr>
    </w:div>
    <w:div w:id="428503754">
      <w:bodyDiv w:val="1"/>
      <w:marLeft w:val="0"/>
      <w:marRight w:val="0"/>
      <w:marTop w:val="0"/>
      <w:marBottom w:val="0"/>
      <w:divBdr>
        <w:top w:val="none" w:sz="0" w:space="0" w:color="auto"/>
        <w:left w:val="none" w:sz="0" w:space="0" w:color="auto"/>
        <w:bottom w:val="none" w:sz="0" w:space="0" w:color="auto"/>
        <w:right w:val="none" w:sz="0" w:space="0" w:color="auto"/>
      </w:divBdr>
    </w:div>
    <w:div w:id="918641017">
      <w:bodyDiv w:val="1"/>
      <w:marLeft w:val="0"/>
      <w:marRight w:val="0"/>
      <w:marTop w:val="0"/>
      <w:marBottom w:val="0"/>
      <w:divBdr>
        <w:top w:val="none" w:sz="0" w:space="0" w:color="auto"/>
        <w:left w:val="none" w:sz="0" w:space="0" w:color="auto"/>
        <w:bottom w:val="none" w:sz="0" w:space="0" w:color="auto"/>
        <w:right w:val="none" w:sz="0" w:space="0" w:color="auto"/>
      </w:divBdr>
    </w:div>
    <w:div w:id="1064139911">
      <w:bodyDiv w:val="1"/>
      <w:marLeft w:val="0"/>
      <w:marRight w:val="0"/>
      <w:marTop w:val="0"/>
      <w:marBottom w:val="0"/>
      <w:divBdr>
        <w:top w:val="none" w:sz="0" w:space="0" w:color="auto"/>
        <w:left w:val="none" w:sz="0" w:space="0" w:color="auto"/>
        <w:bottom w:val="none" w:sz="0" w:space="0" w:color="auto"/>
        <w:right w:val="none" w:sz="0" w:space="0" w:color="auto"/>
      </w:divBdr>
    </w:div>
    <w:div w:id="1156189548">
      <w:bodyDiv w:val="1"/>
      <w:marLeft w:val="0"/>
      <w:marRight w:val="0"/>
      <w:marTop w:val="0"/>
      <w:marBottom w:val="0"/>
      <w:divBdr>
        <w:top w:val="none" w:sz="0" w:space="0" w:color="auto"/>
        <w:left w:val="none" w:sz="0" w:space="0" w:color="auto"/>
        <w:bottom w:val="none" w:sz="0" w:space="0" w:color="auto"/>
        <w:right w:val="none" w:sz="0" w:space="0" w:color="auto"/>
      </w:divBdr>
    </w:div>
    <w:div w:id="1263493150">
      <w:bodyDiv w:val="1"/>
      <w:marLeft w:val="0"/>
      <w:marRight w:val="0"/>
      <w:marTop w:val="0"/>
      <w:marBottom w:val="0"/>
      <w:divBdr>
        <w:top w:val="none" w:sz="0" w:space="0" w:color="auto"/>
        <w:left w:val="none" w:sz="0" w:space="0" w:color="auto"/>
        <w:bottom w:val="none" w:sz="0" w:space="0" w:color="auto"/>
        <w:right w:val="none" w:sz="0" w:space="0" w:color="auto"/>
      </w:divBdr>
    </w:div>
    <w:div w:id="1327171461">
      <w:bodyDiv w:val="1"/>
      <w:marLeft w:val="0"/>
      <w:marRight w:val="0"/>
      <w:marTop w:val="0"/>
      <w:marBottom w:val="0"/>
      <w:divBdr>
        <w:top w:val="none" w:sz="0" w:space="0" w:color="auto"/>
        <w:left w:val="none" w:sz="0" w:space="0" w:color="auto"/>
        <w:bottom w:val="none" w:sz="0" w:space="0" w:color="auto"/>
        <w:right w:val="none" w:sz="0" w:space="0" w:color="auto"/>
      </w:divBdr>
    </w:div>
    <w:div w:id="1463769176">
      <w:bodyDiv w:val="1"/>
      <w:marLeft w:val="0"/>
      <w:marRight w:val="0"/>
      <w:marTop w:val="0"/>
      <w:marBottom w:val="0"/>
      <w:divBdr>
        <w:top w:val="none" w:sz="0" w:space="0" w:color="auto"/>
        <w:left w:val="none" w:sz="0" w:space="0" w:color="auto"/>
        <w:bottom w:val="none" w:sz="0" w:space="0" w:color="auto"/>
        <w:right w:val="none" w:sz="0" w:space="0" w:color="auto"/>
      </w:divBdr>
    </w:div>
    <w:div w:id="1737706250">
      <w:bodyDiv w:val="1"/>
      <w:marLeft w:val="0"/>
      <w:marRight w:val="0"/>
      <w:marTop w:val="0"/>
      <w:marBottom w:val="0"/>
      <w:divBdr>
        <w:top w:val="none" w:sz="0" w:space="0" w:color="auto"/>
        <w:left w:val="none" w:sz="0" w:space="0" w:color="auto"/>
        <w:bottom w:val="none" w:sz="0" w:space="0" w:color="auto"/>
        <w:right w:val="none" w:sz="0" w:space="0" w:color="auto"/>
      </w:divBdr>
    </w:div>
    <w:div w:id="1953442023">
      <w:bodyDiv w:val="1"/>
      <w:marLeft w:val="0"/>
      <w:marRight w:val="0"/>
      <w:marTop w:val="0"/>
      <w:marBottom w:val="0"/>
      <w:divBdr>
        <w:top w:val="none" w:sz="0" w:space="0" w:color="auto"/>
        <w:left w:val="none" w:sz="0" w:space="0" w:color="auto"/>
        <w:bottom w:val="none" w:sz="0" w:space="0" w:color="auto"/>
        <w:right w:val="none" w:sz="0" w:space="0" w:color="auto"/>
      </w:divBdr>
    </w:div>
    <w:div w:id="20838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B086-22CA-44B1-B139-AD02BC6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911</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Steen Møller</dc:creator>
  <cp:keywords/>
  <dc:description/>
  <cp:lastModifiedBy>Henryk Stawicki</cp:lastModifiedBy>
  <cp:revision>10</cp:revision>
  <cp:lastPrinted>2021-06-09T08:47:00Z</cp:lastPrinted>
  <dcterms:created xsi:type="dcterms:W3CDTF">2021-03-12T09:06:00Z</dcterms:created>
  <dcterms:modified xsi:type="dcterms:W3CDTF">2021-06-09T08:47:00Z</dcterms:modified>
</cp:coreProperties>
</file>